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96520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5"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80"/>
        <w:spacing w:after="0"/>
        <w:tabs>
          <w:tab w:leader="none" w:pos="670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3720465</wp:posOffset>
            </wp:positionH>
            <wp:positionV relativeFrom="paragraph">
              <wp:posOffset>-5080</wp:posOffset>
            </wp:positionV>
            <wp:extent cx="1180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82-4151574</w:t>
            </w:r>
          </w:p>
        </w:tc>
      </w:tr>
      <w:tr>
        <w:trPr>
          <w:trHeight w:val="148"/>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100 Campus Drive, Suite 102</w:t>
            </w:r>
          </w:p>
        </w:tc>
        <w:tc>
          <w:tcPr>
            <w:tcW w:w="3120" w:type="dxa"/>
            <w:vAlign w:val="bottom"/>
          </w:tcPr>
          <w:p>
            <w:pPr>
              <w:spacing w:after="0"/>
              <w:rPr>
                <w:sz w:val="24"/>
                <w:szCs w:val="24"/>
                <w:color w:val="auto"/>
              </w:rPr>
            </w:pPr>
          </w:p>
        </w:tc>
      </w:tr>
      <w:tr>
        <w:trPr>
          <w:trHeight w:val="214"/>
        </w:trPr>
        <w:tc>
          <w:tcPr>
            <w:tcW w:w="43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Florham Park, New Jersey</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07932</w:t>
            </w: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742-8466</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2026, the registrant had 79,755,953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gridSpan w:val="6"/>
          </w:tcPr>
          <w:p>
            <w:pPr>
              <w:ind w:left="100"/>
              <w:spacing w:after="0"/>
              <w:rPr>
                <w:sz w:val="20"/>
                <w:szCs w:val="20"/>
                <w:color w:val="auto"/>
              </w:rPr>
            </w:pPr>
            <w:r>
              <w:rPr>
                <w:rFonts w:ascii="Arial" w:cs="Arial" w:eastAsia="Arial" w:hAnsi="Arial"/>
                <w:sz w:val="18"/>
                <w:szCs w:val="18"/>
                <w:b w:val="1"/>
                <w:bCs w:val="1"/>
                <w:color w:val="231F20"/>
              </w:rPr>
              <w:t>TABLE OF CONTENTS</w:t>
            </w:r>
          </w:p>
        </w:tc>
        <w:tc>
          <w:tcPr>
            <w:tcW w:w="2520" w:type="dxa"/>
            <w:vAlign w:val="bottom"/>
          </w:tcPr>
          <w:p>
            <w:pPr>
              <w:spacing w:after="0"/>
              <w:rPr>
                <w:sz w:val="21"/>
                <w:szCs w:val="21"/>
                <w:color w:val="auto"/>
              </w:rPr>
            </w:pPr>
          </w:p>
        </w:tc>
      </w:tr>
      <w:tr>
        <w:trPr>
          <w:trHeight w:val="380"/>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 FINANCIAL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708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Condensed Balance Sheets</w:t>
            </w:r>
          </w:p>
        </w:tc>
        <w:tc>
          <w:tcPr>
            <w:tcW w:w="40" w:type="dxa"/>
            <w:vAlign w:val="bottom"/>
            <w:tcBorders>
              <w:top w:val="single" w:sz="8" w:color="0000FF"/>
              <w:bottom w:val="single" w:sz="8" w:color="0000EE"/>
            </w:tcBorders>
          </w:tcPr>
          <w:p>
            <w:pPr>
              <w:spacing w:after="0"/>
              <w:rPr>
                <w:sz w:val="20"/>
                <w:szCs w:val="20"/>
                <w:color w:val="auto"/>
              </w:rPr>
            </w:pPr>
          </w:p>
        </w:tc>
        <w:tc>
          <w:tcPr>
            <w:tcW w:w="360" w:type="dxa"/>
            <w:vAlign w:val="bottom"/>
            <w:tcBorders>
              <w:top w:val="single" w:sz="8" w:color="0000FF"/>
            </w:tcBorders>
            <w:gridSpan w:val="2"/>
          </w:tcPr>
          <w:p>
            <w:pPr>
              <w:spacing w:after="0"/>
              <w:rPr>
                <w:sz w:val="20"/>
                <w:szCs w:val="20"/>
                <w:color w:val="auto"/>
              </w:rPr>
            </w:pPr>
          </w:p>
        </w:tc>
        <w:tc>
          <w:tcPr>
            <w:tcW w:w="4440" w:type="dxa"/>
            <w:vAlign w:val="bottom"/>
            <w:gridSpan w:val="8"/>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19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Condensed Statements of Stockholders’ Deficit</w:t>
            </w:r>
          </w:p>
        </w:tc>
        <w:tc>
          <w:tcPr>
            <w:tcW w:w="2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Statements of Cash Flows</w:t>
            </w:r>
          </w:p>
        </w:tc>
        <w:tc>
          <w:tcPr>
            <w:tcW w:w="40" w:type="dxa"/>
            <w:vAlign w:val="bottom"/>
            <w:tcBorders>
              <w:top w:val="single" w:sz="8" w:color="0000FF"/>
              <w:bottom w:val="single" w:sz="8" w:color="0000EE"/>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320" w:type="dxa"/>
            <w:vAlign w:val="bottom"/>
            <w:gridSpan w:val="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Notes to Condensed Unaudited Financial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1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558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1A</w:t>
            </w:r>
          </w:p>
        </w:tc>
        <w:tc>
          <w:tcPr>
            <w:tcW w:w="70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20" w:type="dxa"/>
            <w:vAlign w:val="bottom"/>
            <w:gridSpan w:val="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4520" w:type="dxa"/>
            <w:vAlign w:val="bottom"/>
            <w:gridSpan w:val="9"/>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5140" w:type="dxa"/>
            <w:vAlign w:val="bottom"/>
            <w:gridSpan w:val="1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5</w:t>
            </w:r>
          </w:p>
        </w:tc>
        <w:tc>
          <w:tcPr>
            <w:tcW w:w="70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20"/>
                <w:szCs w:val="20"/>
                <w:color w:val="auto"/>
              </w:rPr>
            </w:pPr>
          </w:p>
        </w:tc>
        <w:tc>
          <w:tcPr>
            <w:tcW w:w="740" w:type="dxa"/>
            <w:vAlign w:val="bottom"/>
            <w:tcBorders>
              <w:top w:val="single" w:sz="8" w:color="0000FF"/>
            </w:tcBorders>
            <w:gridSpan w:val="3"/>
          </w:tcPr>
          <w:p>
            <w:pPr>
              <w:spacing w:after="0"/>
              <w:rPr>
                <w:sz w:val="20"/>
                <w:szCs w:val="20"/>
                <w:color w:val="auto"/>
              </w:rPr>
            </w:pPr>
          </w:p>
        </w:tc>
        <w:tc>
          <w:tcPr>
            <w:tcW w:w="5680" w:type="dxa"/>
            <w:vAlign w:val="bottom"/>
            <w:gridSpan w:val="1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432"/>
        </w:trPr>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180,904</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129,972</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15,353</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80,724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78,129</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Inventory</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6,508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5,518</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276,571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228,972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1,064</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2,508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2,603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2,861</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 non-current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19,076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20,732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3,088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2,917</w:t>
            </w:r>
          </w:p>
        </w:tc>
      </w:tr>
      <w:tr>
        <w:trPr>
          <w:trHeight w:val="23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305,120</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259,149</w:t>
            </w:r>
          </w:p>
        </w:tc>
      </w:tr>
      <w:tr>
        <w:trPr>
          <w:trHeight w:val="183"/>
        </w:trPr>
        <w:tc>
          <w:tcPr>
            <w:tcW w:w="78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6,365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4,983</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83,317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89,831</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1,833</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648</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revenue interest financing liability</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33,016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27,249</w:t>
            </w:r>
          </w:p>
        </w:tc>
      </w:tr>
      <w:tr>
        <w:trPr>
          <w:trHeight w:val="203"/>
        </w:trPr>
        <w:tc>
          <w:tcPr>
            <w:tcW w:w="78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7,500</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125,041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132,044</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 net of discount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163,675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209,087</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Revenue interest financing liability</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347,898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350,122</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1,961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2,065</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3,500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4,000</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642,075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697,318</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3)</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184"/>
        </w:trPr>
        <w:tc>
          <w:tcPr>
            <w:tcW w:w="7860" w:type="dxa"/>
            <w:vAlign w:val="bottom"/>
          </w:tcPr>
          <w:p>
            <w:pPr>
              <w:ind w:left="160"/>
              <w:spacing w:after="0" w:line="183" w:lineRule="exact"/>
              <w:rPr>
                <w:sz w:val="20"/>
                <w:szCs w:val="20"/>
                <w:color w:val="auto"/>
              </w:rPr>
            </w:pPr>
            <w:r>
              <w:rPr>
                <w:rFonts w:ascii="Arial" w:cs="Arial" w:eastAsia="Arial" w:hAnsi="Arial"/>
                <w:sz w:val="18"/>
                <w:szCs w:val="18"/>
                <w:color w:val="auto"/>
              </w:rPr>
              <w:t>Preferred stock, $0.0001 par value; authorized shares — 40,000,000 at March 31, 2026 and</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December 31, 2025; no shares issued and outstanding at March 31, 2026 and December 31,</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1"/>
        </w:trPr>
        <w:tc>
          <w:tcPr>
            <w:tcW w:w="7860" w:type="dxa"/>
            <w:vAlign w:val="bottom"/>
          </w:tcPr>
          <w:p>
            <w:pPr>
              <w:ind w:left="16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184"/>
        </w:trPr>
        <w:tc>
          <w:tcPr>
            <w:tcW w:w="786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Common stock, $0.0001 par value; authorized shares — 400,000,000 at March 31, 2026 and</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December 31, 2025; issued and outstanding shares — 79,442,367 and 71,419,025 at March</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21"/>
        </w:trPr>
        <w:tc>
          <w:tcPr>
            <w:tcW w:w="7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31, 2026 and December 31, 2025, respectively</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Treasury stock — 19 shares at March 31, 2026 and December 31, 2025</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1,177,665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1,046,083</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(1,514,627)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(1,484,258)</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(336,955)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(438,169)</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305,120</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259,149</w:t>
            </w:r>
          </w:p>
        </w:tc>
      </w:tr>
      <w:tr>
        <w:trPr>
          <w:trHeight w:val="20"/>
        </w:trPr>
        <w:tc>
          <w:tcPr>
            <w:tcW w:w="7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-3565525</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-3548380</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-2510790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-1722120</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19"/>
                <w:szCs w:val="19"/>
                <w:color w:val="auto"/>
              </w:rPr>
            </w:pPr>
          </w:p>
        </w:tc>
      </w:tr>
      <w:tr>
        <w:trPr>
          <w:trHeight w:val="196"/>
        </w:trPr>
        <w:tc>
          <w:tcPr>
            <w:tcW w:w="6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12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58,301</w:t>
            </w:r>
          </w:p>
        </w:tc>
        <w:tc>
          <w:tcPr>
            <w:tcW w:w="58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28,519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11,996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3,724</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46,305</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24,795</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7,771</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9,184</w:t>
            </w: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54,011</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94,474</w:t>
            </w:r>
          </w:p>
        </w:tc>
      </w:tr>
      <w:tr>
        <w:trPr>
          <w:trHeight w:val="196"/>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61,782</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103,658</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(15,477)</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(78,863)</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1,736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2,640</w:t>
            </w:r>
          </w:p>
        </w:tc>
      </w:tr>
      <w:tr>
        <w:trPr>
          <w:trHeight w:val="203"/>
        </w:trPr>
        <w:tc>
          <w:tcPr>
            <w:tcW w:w="6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(15,797)</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(18,071)</w:t>
            </w: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Other expense, net</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(831)</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r>
      <w:tr>
        <w:trPr>
          <w:trHeight w:val="196"/>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(14,892)</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(15,453)</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(30,369)</w:t>
            </w:r>
          </w:p>
        </w:tc>
        <w:tc>
          <w:tcPr>
            <w:tcW w:w="5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(94,316)</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2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(0.37)</w:t>
            </w:r>
          </w:p>
        </w:tc>
        <w:tc>
          <w:tcPr>
            <w:tcW w:w="58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(1.31)</w:t>
            </w:r>
          </w:p>
        </w:tc>
      </w:tr>
      <w:tr>
        <w:trPr>
          <w:trHeight w:val="183"/>
        </w:trPr>
        <w:tc>
          <w:tcPr>
            <w:tcW w:w="68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Weighted-average shares of common stock outstanding, basic and diluted</w:t>
            </w:r>
          </w:p>
        </w:tc>
        <w:tc>
          <w:tcPr>
            <w:tcW w:w="90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rPr>
              <w:t>82,050,618</w:t>
            </w:r>
          </w:p>
        </w:tc>
        <w:tc>
          <w:tcPr>
            <w:tcW w:w="16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71,969,411</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-1268095</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6"/>
                <w:szCs w:val="16"/>
                <w:color w:val="auto"/>
              </w:rPr>
            </w:pPr>
          </w:p>
        </w:tc>
        <w:tc>
          <w:tcPr>
            <w:tcW w:w="12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20" w:type="dxa"/>
            <w:vAlign w:val="bottom"/>
          </w:tcPr>
          <w:p>
            <w:pPr>
              <w:spacing w:after="0"/>
              <w:rPr>
                <w:sz w:val="16"/>
                <w:szCs w:val="16"/>
                <w:color w:val="auto"/>
              </w:rPr>
            </w:pPr>
          </w:p>
        </w:tc>
        <w:tc>
          <w:tcPr>
            <w:tcW w:w="1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280" w:type="dxa"/>
            <w:vAlign w:val="bottom"/>
            <w:tcBorders>
              <w:bottom w:val="single" w:sz="8" w:color="auto"/>
            </w:tcBorders>
            <w:gridSpan w:val="2"/>
          </w:tcPr>
          <w:p>
            <w:pPr>
              <w:ind w:left="280"/>
              <w:spacing w:after="0" w:line="196" w:lineRule="exact"/>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7"/>
                <w:szCs w:val="17"/>
                <w:color w:val="auto"/>
              </w:rPr>
            </w:pP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line="196" w:lineRule="exact"/>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2025</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71,419,025</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1,046,083</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(1,484,258)</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(438,169)</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132,035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Vesting of restricted stock units and performance</w:t>
            </w: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 units, net of employee tax obligations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740,564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211,837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exercises of</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63,906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Issuance of common stock and pre-funded</w:t>
            </w: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warrants in connection with the underwritten</w:t>
            </w: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 net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6,875,000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121,973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(30,369)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(30,369)</w:t>
            </w: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2026</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79,442,367</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1,177,665</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(1,514,627)</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(336,955)</w:t>
            </w:r>
          </w:p>
        </w:tc>
        <w:tc>
          <w:tcPr>
            <w:tcW w:w="0" w:type="dxa"/>
            <w:vAlign w:val="bottom"/>
          </w:tcPr>
          <w:p>
            <w:pPr>
              <w:spacing w:after="0"/>
              <w:rPr>
                <w:sz w:val="1"/>
                <w:szCs w:val="1"/>
                <w:color w:val="auto"/>
              </w:rPr>
            </w:pPr>
          </w:p>
        </w:tc>
      </w:tr>
      <w:tr>
        <w:trPr>
          <w:trHeight w:val="853"/>
        </w:trPr>
        <w:tc>
          <w:tcPr>
            <w:tcW w:w="368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vMerge w:val="restart"/>
          </w:tcPr>
          <w:p>
            <w:pPr>
              <w:jc w:val="center"/>
              <w:ind w:left="70"/>
              <w:spacing w:after="0"/>
              <w:rPr>
                <w:sz w:val="20"/>
                <w:szCs w:val="20"/>
                <w:color w:val="auto"/>
              </w:rPr>
            </w:pPr>
            <w:r>
              <w:rPr>
                <w:rFonts w:ascii="Arial" w:cs="Arial" w:eastAsia="Arial" w:hAnsi="Arial"/>
                <w:sz w:val="18"/>
                <w:szCs w:val="18"/>
                <w:b w:val="1"/>
                <w:bCs w:val="1"/>
                <w:color w:val="auto"/>
                <w:w w:val="99"/>
              </w:rPr>
              <w:t>Treasury</w:t>
            </w: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6"/>
                <w:szCs w:val="16"/>
                <w:color w:val="auto"/>
              </w:rPr>
            </w:pPr>
          </w:p>
        </w:tc>
        <w:tc>
          <w:tcPr>
            <w:tcW w:w="12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w:t>
            </w:r>
          </w:p>
        </w:tc>
        <w:tc>
          <w:tcPr>
            <w:tcW w:w="120" w:type="dxa"/>
            <w:vAlign w:val="bottom"/>
          </w:tcPr>
          <w:p>
            <w:pPr>
              <w:spacing w:after="0"/>
              <w:rPr>
                <w:sz w:val="16"/>
                <w:szCs w:val="16"/>
                <w:color w:val="auto"/>
              </w:rPr>
            </w:pPr>
          </w:p>
        </w:tc>
        <w:tc>
          <w:tcPr>
            <w:tcW w:w="1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82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16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line="196" w:lineRule="exact"/>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line="196" w:lineRule="exact"/>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7"/>
              <w:spacing w:after="0" w:line="196" w:lineRule="exact"/>
              <w:rPr>
                <w:sz w:val="20"/>
                <w:szCs w:val="20"/>
                <w:color w:val="auto"/>
              </w:rPr>
            </w:pPr>
            <w:r>
              <w:rPr>
                <w:rFonts w:ascii="Arial" w:cs="Arial" w:eastAsia="Arial" w:hAnsi="Arial"/>
                <w:sz w:val="18"/>
                <w:szCs w:val="18"/>
                <w:b w:val="1"/>
                <w:bCs w:val="1"/>
                <w:color w:val="auto"/>
                <w:w w:val="98"/>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68,518,238</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1,009,425</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(1,263,011)</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(253,580)</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160" w:type="dxa"/>
            <w:vAlign w:val="bottom"/>
          </w:tcPr>
          <w:p>
            <w:pPr>
              <w:jc w:val="right"/>
              <w:spacing w:after="0"/>
              <w:rPr>
                <w:sz w:val="20"/>
                <w:szCs w:val="20"/>
                <w:color w:val="auto"/>
              </w:rPr>
            </w:pPr>
            <w:r>
              <w:rPr>
                <w:rFonts w:ascii="Arial" w:cs="Arial" w:eastAsia="Arial" w:hAnsi="Arial"/>
                <w:sz w:val="16"/>
                <w:szCs w:val="16"/>
                <w:color w:val="auto"/>
              </w:rPr>
              <w:t>290,165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508,568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321,099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(94,316)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(94,316)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2025</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69,638,070</w:t>
            </w:r>
          </w:p>
        </w:tc>
        <w:tc>
          <w:tcPr>
            <w:tcW w:w="1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1,018,945</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(1,357,327)</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(338,376)</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-1859280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-1842770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-1859280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-1842770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-1859280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-1842770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-1859280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-1842770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-1859280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-1842770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-24765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-8255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19"/>
                <w:szCs w:val="19"/>
                <w:color w:val="auto"/>
              </w:rPr>
            </w:pPr>
          </w:p>
        </w:tc>
      </w:tr>
      <w:tr>
        <w:trPr>
          <w:trHeight w:val="196"/>
        </w:trPr>
        <w:tc>
          <w:tcPr>
            <w:tcW w:w="7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2026</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(30,369)</w:t>
            </w: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(94,316)</w:t>
            </w: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177</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5,534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5,540</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Accrued payment-in-kind interest on debt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712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1,141</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Accrued interest on revenue interest financing liability, net of payments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3,543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8,037</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696</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Loss on extinguishment of debt</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829</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Inventory reserve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899</w:t>
            </w: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1,605</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1,810</w:t>
            </w: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6,918</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7,810</w:t>
            </w: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(2,596)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2,433</w:t>
            </w: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(6,961)</w:t>
            </w: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92</w:t>
            </w: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right-of-use assets and lease liabilities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2"/>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(12,328)</w:t>
            </w:r>
          </w:p>
        </w:tc>
      </w:tr>
      <w:tr>
        <w:trPr>
          <w:trHeight w:val="203"/>
        </w:trPr>
        <w:tc>
          <w:tcPr>
            <w:tcW w:w="74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(15,647)</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(84,930)</w:t>
            </w: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Cash paid for property and equipment</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r>
      <w:tr>
        <w:trPr>
          <w:trHeight w:val="196"/>
        </w:trPr>
        <w:tc>
          <w:tcPr>
            <w:tcW w:w="7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issuance of common stock from exercise of stock options</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591</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Proceeds from issuance of long-term debt, net of issuance costs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173,250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Repayment of long-term debt</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(229,047)</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Net proceeds from underwritten public offering</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121,974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 of employee tax obligations related to vesting of PSUs and RSUs</w:t>
            </w:r>
          </w:p>
        </w:tc>
        <w:tc>
          <w:tcPr>
            <w:tcW w:w="3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66,640</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50,932</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(84,948)</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Cash and cash equivalents and restricted cash – beginning of period</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132,833</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300,125</w:t>
            </w:r>
          </w:p>
        </w:tc>
      </w:tr>
      <w:tr>
        <w:trPr>
          <w:trHeight w:val="23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and restricted cash – end of period</w:t>
            </w:r>
          </w:p>
        </w:tc>
        <w:tc>
          <w:tcPr>
            <w:tcW w:w="7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183,765</w:t>
            </w:r>
          </w:p>
        </w:tc>
        <w:tc>
          <w:tcPr>
            <w:tcW w:w="58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215,177</w:t>
            </w:r>
          </w:p>
        </w:tc>
      </w:tr>
      <w:tr>
        <w:trPr>
          <w:trHeight w:val="183"/>
        </w:trPr>
        <w:tc>
          <w:tcPr>
            <w:tcW w:w="740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Interest paid</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4,936</w:t>
            </w: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5,226</w:t>
            </w:r>
          </w:p>
        </w:tc>
      </w:tr>
      <w:tr>
        <w:trPr>
          <w:trHeight w:val="20"/>
        </w:trPr>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Property and equipment purchases included in accounts payable and accrued expenses</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r>
      <w:tr>
        <w:trPr>
          <w:trHeight w:val="20"/>
        </w:trPr>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Settlement of ESPP liability in common stock</w:t>
            </w:r>
          </w:p>
        </w:tc>
        <w:tc>
          <w:tcPr>
            <w:tcW w:w="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1,538</w:t>
            </w:r>
          </w:p>
        </w:tc>
        <w:tc>
          <w:tcPr>
            <w:tcW w:w="58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1,853</w:t>
            </w: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400" w:type="dxa"/>
            <w:vAlign w:val="bottom"/>
          </w:tcPr>
          <w:p>
            <w:pPr>
              <w:spacing w:after="0" w:line="183" w:lineRule="exact"/>
              <w:rPr>
                <w:sz w:val="20"/>
                <w:szCs w:val="20"/>
                <w:color w:val="auto"/>
              </w:rPr>
            </w:pPr>
            <w:r>
              <w:rPr>
                <w:rFonts w:ascii="Arial" w:cs="Arial" w:eastAsia="Arial" w:hAnsi="Arial"/>
                <w:sz w:val="18"/>
                <w:szCs w:val="18"/>
                <w:color w:val="auto"/>
              </w:rPr>
              <w:t>Settlement of 401(k) liability in common stock</w:t>
            </w:r>
          </w:p>
        </w:tc>
        <w:tc>
          <w:tcPr>
            <w:tcW w:w="70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2,074</w:t>
            </w:r>
          </w:p>
        </w:tc>
        <w:tc>
          <w:tcPr>
            <w:tcW w:w="58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2,127</w:t>
            </w:r>
          </w:p>
        </w:tc>
      </w:tr>
      <w:tr>
        <w:trPr>
          <w:trHeight w:val="20"/>
        </w:trPr>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Final interest payment fee</w:t>
            </w:r>
          </w:p>
        </w:tc>
        <w:tc>
          <w:tcPr>
            <w:tcW w:w="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3,500</w:t>
            </w:r>
          </w:p>
        </w:tc>
        <w:tc>
          <w:tcPr>
            <w:tcW w:w="58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-3042920</wp:posOffset>
            </wp:positionV>
            <wp:extent cx="111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-2502535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-1734820</wp:posOffset>
            </wp:positionV>
            <wp:extent cx="13652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-1182370</wp:posOffset>
            </wp:positionV>
            <wp:extent cx="111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-1165225</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-333375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Unaudited Financial Statements</w:t>
      </w:r>
    </w:p>
    <w:p>
      <w:pPr>
        <w:spacing w:after="0" w:line="153" w:lineRule="exact"/>
        <w:rPr>
          <w:sz w:val="20"/>
          <w:szCs w:val="20"/>
          <w:color w:val="auto"/>
        </w:rPr>
      </w:pPr>
    </w:p>
    <w:p>
      <w:pPr>
        <w:ind w:right="3800"/>
        <w:spacing w:after="0" w:line="446"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w:t>
      </w:r>
    </w:p>
    <w:p>
      <w:pPr>
        <w:ind w:right="220" w:firstLine="509"/>
        <w:spacing w:after="0" w:line="247" w:lineRule="auto"/>
        <w:rPr>
          <w:sz w:val="20"/>
          <w:szCs w:val="20"/>
          <w:color w:val="auto"/>
        </w:rPr>
      </w:pPr>
      <w:r>
        <w:rPr>
          <w:rFonts w:ascii="Arial" w:cs="Arial" w:eastAsia="Arial" w:hAnsi="Arial"/>
          <w:sz w:val="18"/>
          <w:szCs w:val="18"/>
          <w:color w:val="auto"/>
        </w:rPr>
        <w:t>Phathom Pharmaceuticals, Inc., or the Company or Phathom, was incorporated in the state of Delaware in January 2018. The Company is a commercial-stage biopharmaceutical company focused on commercializing and developing novel treatments for gastrointestinal, or GI, diseases. The Company’s financial statements are prepared in accordance with U.S. generally accepted accounting principles, or GAAP.</w:t>
      </w:r>
    </w:p>
    <w:p>
      <w:pPr>
        <w:spacing w:after="0" w:line="13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In May 2022, the U.S. Food and Drug Administration, or FDA, approved the Company's new drug applications, or NDAs for vonoprazan triple therapy, under the brand name VOQUEZNA TRIPLE PAK, and vonoprazan dual therapy, under the brand name VOQUEZNA DUAL PAK. On October 27, 2023, the FDA approved the prior approval supplements to the Company's NDAs, for VOQUEZNA TRIPLE PAK and VOQUEZNA DUAL PAK. Additionally, on November 1, 2023, the FDA approved the Company's NDA for VOQUEZNA tablets. The Company initiated commercial launch for VOQUEZNA in the U.S.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Additionally, on July 17, 2024, the FDA approved VOQUEZNA 10 mg tablets for the relief of heartburn associated with Non-Erosive GERD.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From inception to March 31, 2026,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in the U.S., and providing other selling, general and administrative support for these operations. The Company has a limited operating history as a commercial company. Although the Company has generated product revenue to date, the amount of future sales and income potential from its business remains uncertain. The Company has incurred net losses and negative cash flows from operating activities since its inception and despite the Company's plans and expectations, could continue to incur additional net losses in the future. The Company has funded its operations primarily through commercial bank debt, the revenue interest financing debt and various equity offerings, including the Company's at-the-market, or ATM, offerings. From inception through March 31, 2026, the Company sold 41,612,032 shares of common stock and 3,859,000 pre-funded warrants, generating net proceeds of approximately $665.3 million, after deducting underwriting discounts, commissions and offering costs.</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accompanying unaudited interim condensed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58"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unaudited interim condensed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interim condensed financial statements included herein have been prepared by the Company in accordance with GAAP, and pursuant to the rules and regulations of the Securities and Exchange Commission, or the SEC. In the opinion of management, the accompanying unaudited interim condensed financial statements include all adjustments, consisting of normal recurring adjustments, which are necessary to present fairly the Company’s financial position, results of operations, and cash flows. The interim results of operations are not necessarily indicative of the results that may occur for the full fiscal year. Certain information in the footnote disclosures of the financial statements has been condensed or omitted where it substantially duplicates information provided in the Company’s latest audited financial statements, in accordance with the rules and regulations of the SEC. These unaudited interim condensed financial statements should be read in conjunction with the Company’s audited financial statements and footnotes included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 w:name="page8"/>
    <w:bookmarkEnd w:id="7"/>
    <w:p>
      <w:pPr>
        <w:ind w:right="160"/>
        <w:spacing w:after="0" w:line="271" w:lineRule="auto"/>
        <w:rPr>
          <w:sz w:val="20"/>
          <w:szCs w:val="20"/>
          <w:color w:val="auto"/>
        </w:rPr>
      </w:pPr>
      <w:r>
        <w:rPr>
          <w:rFonts w:ascii="Arial" w:cs="Arial" w:eastAsia="Arial" w:hAnsi="Arial"/>
          <w:sz w:val="18"/>
          <w:szCs w:val="18"/>
          <w:color w:val="auto"/>
        </w:rPr>
        <w:t>in its Annual Report on Form 10-K for the fiscal year ended December 31, 2025, or the 2025 Form 10-K, filed with the SEC on February 26, 2026.</w:t>
      </w:r>
    </w:p>
    <w:p>
      <w:pPr>
        <w:spacing w:after="0" w:line="12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During the three months ended March 31, 2026, there were no significant changes to the Company’s summary of significant accounting policies contained in the Company’s 2025 Form 10-K. The Company’s complete listing of significant accounting policies is set forth in Note 1 of the notes to the audited financial statements in the Company's 2025 Form 10-K. Selected significant accounting policies are discussed in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the Company’s unaudited condensed interim financial statements requires management to make estimates and assumptions that impact the reported amounts of assets, liabilities, revenues and expenses, and the disclosure of contingent assets and liabilities in the Company’s unaudited condensed interim financial statements and accompanying notes. The most significant estimates in the Company’s unaudited condensed interim financial statements relate to accruals for net product revenues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71"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13"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p>
    <w:p>
      <w:pPr>
        <w:spacing w:after="0" w:line="142" w:lineRule="exact"/>
        <w:rPr>
          <w:sz w:val="20"/>
          <w:szCs w:val="20"/>
          <w:color w:val="auto"/>
        </w:rPr>
      </w:pPr>
    </w:p>
    <w:p>
      <w:pPr>
        <w:ind w:right="440" w:firstLine="509"/>
        <w:spacing w:after="0" w:line="301"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90"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As of March 31, 2026 and December 31, 2025,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Company is also subject to credit risk from our accounts receivable related to our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 reflects the best estimate of expected credit losses of the accounts receivable portfolio determined on the basis of historical experience, current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 w:name="page9"/>
    <w:bookmarkEnd w:id="8"/>
    <w:p>
      <w:pPr>
        <w:ind w:right="140"/>
        <w:spacing w:after="0"/>
        <w:rPr>
          <w:sz w:val="20"/>
          <w:szCs w:val="20"/>
          <w:color w:val="auto"/>
        </w:rPr>
      </w:pPr>
      <w:r>
        <w:rPr>
          <w:rFonts w:ascii="Arial" w:cs="Arial" w:eastAsia="Arial" w:hAnsi="Arial"/>
          <w:sz w:val="18"/>
          <w:szCs w:val="18"/>
          <w:color w:val="auto"/>
        </w:rPr>
        <w:t>information, and forecasts of future economic conditions. The Company determines its allowance methodology by pooling receivable balances at the customer level. The Company considers various factors, including its previous loss history, individual credit risk associated with each customer, and the current and future conditions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p>
    <w:p>
      <w:pPr>
        <w:spacing w:after="0" w:line="158"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As of March 31, 2026, three customers accounted for 81% of the accounts receivable balance, with each of these individual customers ranging from 24% to 29% of the accounts receivable balance. As of December 31, 2025, three customers accounted for 78% of the accounts receivable balance, with each of these individual customers ranging from 19% to 30% of the accounts receivable balance. For the three months ended March 31, 2026, three customers accounted for 70% of the product sales in each period, with each of these individual customers ranging from 20% to 26% of the product sales. For the three months ended March 31, 2025, three customers accounted for 76% of the product sales, with each of these individual customers ranging from 24% to 27% of the product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and pre-funded warrants outstanding for the period, without consideration for other potentially dilutive securities. For the three months ended March 31, 2026 and 2025 , basic shares outstanding includes the weighted average effect of the Company’s outstanding pre-funded warrants, the exercise of which requires little or no consideration for the delivery of shares of common stock. For the three months ended March 31, 2026 and 2025, the Company had no weighted-average unvested shares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1"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There were no recently adopted accounting standards which would have a material impact on the Company's unaudited interim condensed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5" w:lineRule="exact"/>
        <w:rPr>
          <w:sz w:val="20"/>
          <w:szCs w:val="20"/>
          <w:color w:val="auto"/>
        </w:rPr>
      </w:pPr>
    </w:p>
    <w:p>
      <w:pPr>
        <w:jc w:val="both"/>
        <w:ind w:right="280" w:firstLine="509"/>
        <w:spacing w:after="0" w:line="242" w:lineRule="auto"/>
        <w:rPr>
          <w:sz w:val="20"/>
          <w:szCs w:val="20"/>
          <w:color w:val="auto"/>
        </w:rPr>
      </w:pPr>
      <w:r>
        <w:rPr>
          <w:rFonts w:ascii="Arial" w:cs="Arial" w:eastAsia="Arial" w:hAnsi="Arial"/>
          <w:sz w:val="18"/>
          <w:szCs w:val="18"/>
          <w:color w:val="auto"/>
        </w:rPr>
        <w:t xml:space="preserve">In November 2024, the FASB issued </w:t>
      </w:r>
      <w:r>
        <w:rPr>
          <w:rFonts w:ascii="Arial" w:cs="Arial" w:eastAsia="Arial" w:hAnsi="Arial"/>
          <w:sz w:val="18"/>
          <w:szCs w:val="18"/>
          <w:i w:val="1"/>
          <w:iCs w:val="1"/>
          <w:color w:val="auto"/>
        </w:rPr>
        <w:t>ASU 2024-03 - Disaggregation of Income Statement Expenses</w:t>
      </w:r>
      <w:r>
        <w:rPr>
          <w:rFonts w:ascii="Arial" w:cs="Arial" w:eastAsia="Arial" w:hAnsi="Arial"/>
          <w:sz w:val="18"/>
          <w:szCs w:val="18"/>
          <w:color w:val="auto"/>
        </w:rPr>
        <w:t>, which requires more detailed disclosures about specified categories of expenses (including employee compensation, depreciation, and amortization) included in certain expense captions presented on the face of the income statement. ASU 2024-03 is effective for fiscal years beginning after December 15, 2026, and for interim periods within fiscal years beginning after December 15, 2027, may be applied prospectively or retrospectively, and allows for early adoption. This standard is not expected to have an impact on any amounts recognized in our financial statements, but will result in more detailed disclosures addressing the categorization of expenses.</w:t>
      </w:r>
    </w:p>
    <w:p>
      <w:pPr>
        <w:spacing w:after="0" w:line="13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Company assesses the adoption impact of recently issued accounting standards by the Financial Accounting Standards Board or other standard setting bodies on the Company's financial statements as well as material updates to previous assessments, if any, from the Company’s 2025 Form 10-K. There were no new material accounting standards issued in the first quarter of 2026 that impacted the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7"/>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Balance Sheet Details</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31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 expenses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9,218</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14,841</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professional &amp; consulting expenses</w:t>
            </w:r>
          </w:p>
        </w:tc>
        <w:tc>
          <w:tcPr>
            <w:tcW w:w="30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30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revenue allowances</w:t>
            </w:r>
          </w:p>
        </w:tc>
        <w:tc>
          <w:tcPr>
            <w:tcW w:w="30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67,488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65,462</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other</w:t>
            </w:r>
          </w:p>
        </w:tc>
        <w:tc>
          <w:tcPr>
            <w:tcW w:w="3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5,612</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line="196" w:lineRule="exact"/>
              <w:rPr>
                <w:sz w:val="20"/>
                <w:szCs w:val="20"/>
                <w:color w:val="auto"/>
              </w:rPr>
            </w:pPr>
            <w:r>
              <w:rPr>
                <w:rFonts w:ascii="Arial" w:cs="Arial" w:eastAsia="Arial" w:hAnsi="Arial"/>
                <w:sz w:val="18"/>
                <w:szCs w:val="18"/>
                <w:color w:val="auto"/>
              </w:rPr>
              <w:t>Total accrued expenses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83,317</w:t>
            </w: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89,831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Inventory consists of the following (in thousands):</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31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Finished goods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1,482</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5,026</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 current</w:t>
            </w:r>
          </w:p>
        </w:tc>
        <w:tc>
          <w:tcPr>
            <w:tcW w:w="30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6,508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 non-current</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19,076</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25,584</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-1713865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consideration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 million in sales milestones upon the achievement of specified levels of product sales, and a low double-digit royalty rate on aggregate net sales of licensed products, subject to certain adjustments. The Takeda Warrant had an exercise price of</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8"/>
          <w:szCs w:val="18"/>
          <w:color w:val="auto"/>
        </w:rPr>
        <w:t>$0.00004613 per share, and was to expire on May 7, 2029 and became exercisable upon the consummation of the IPO. All Takeda Warrants were exercised by March 2022.</w:t>
      </w:r>
    </w:p>
    <w:p>
      <w:pPr>
        <w:spacing w:after="0" w:line="12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During the three months ended March 31, 2026 and 2025, the Company recorded $5.8 million and $2.9 million, respectively, of royalty expense under the Takeda License, of which $5.8 million is included within accrued expenses as of March 31, 2026.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which the Company sells as the VOQUEZNA DUAL PAK and the VOQUEZNA TRIPLE PAK. The supply agreement commits the Company to annual minimum purchase obligations. In March 2026, the Company entered into the second amendment to the supply agreement, or the Second Amendment, and as amended, the Amended Supply Agreement, whereby the parties agreed to the payment amount to be made by the Company to satisfy the remaining portion of the 2025 minimum purchase obligation and agreed to set the minimum purchase quantity for 2026. The parties further agreed that the determination of the minimum purchase obligation for years after 2026 would be mutually agreed by the parties at a specified time period prior to the end of the immediately preceding calendar year. In case the parties fail to reach an agreement on the minimum purchase obligation by such date, each party may terminate this agreement on twenty-four months prior written notice. The Second Amendment also included a price adjustment.</w:t>
      </w:r>
    </w:p>
    <w:p>
      <w:pPr>
        <w:spacing w:after="0" w:line="15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incurred no expense and $0.1 million of expense under the agreement during the three months ended March 31, 2026 and 2025, respectively. As of March 31, 2026, approximately €1.0 million, or approximately $1.1 million, for the 2025 minimum purchase obligation per the Amended Supply Agreement remains and for which the Company has recorded within accounts payable on the condensed balance sheets.</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had previously been informed by Sandoz that there could be a disruption in the supply of clarithromycin tablets, a component of the VOQUEZNA TRIPLE PAK, which could lead to a disruption in supply of the VOQUEZNA TRIPLE PAKs. Given more recent communications, however, the Company does not currently anticipate any near-term disruptions. The Company plans to continue to actively monitor the situation to determine if a supply disruption may arise in the future. The VOQUEZNA TRIPLE PAK represented approximately</w:t>
      </w:r>
    </w:p>
    <w:p>
      <w:pPr>
        <w:jc w:val="both"/>
        <w:ind w:right="60"/>
        <w:spacing w:after="0" w:line="242" w:lineRule="auto"/>
        <w:rPr>
          <w:sz w:val="20"/>
          <w:szCs w:val="20"/>
          <w:color w:val="auto"/>
        </w:rPr>
      </w:pPr>
      <w:r>
        <w:rPr>
          <w:rFonts w:ascii="Arial" w:cs="Arial" w:eastAsia="Arial" w:hAnsi="Arial"/>
          <w:sz w:val="18"/>
          <w:szCs w:val="18"/>
          <w:color w:val="auto"/>
        </w:rPr>
        <w:t>1% of our total revenue for 2025. While the Company has not experienced any commercial disruption to date, any disruption for such supply would result in our inability to continue to commercialize the VOQUEZNA TRIPLE PAK. The VOQUEZNA bottles and the VOQUEZNA DUAL PAKs are not impacted, as they do not include clarithromycin.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Commitments</w:t>
      </w:r>
    </w:p>
    <w:p>
      <w:pPr>
        <w:spacing w:after="0" w:line="17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March 31, 2026, the Company had operating leases for office space in both Buffalo Grove, Illinois and Florham Park, New Jersey, with weighted average remaining lease terms of 4.2 years and 4.9 years, respectively. In September 2025, the Company entered into amendments to its lease agreements for the New Jersey office space to extend the terms of the leases through February 2031. All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49"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total rent expense for the three months ended March 31, 2026 and 2025 was $0.2 million and $0.3 million, respectively. Total short-term lease costs relating to leased vehicles were $1.8 million for each of the three months ended March 31, 2026 and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As of March 31, 2026, the future minimum annual lease payments under the operating leases were as follows (in thousands):</w:t>
      </w:r>
    </w:p>
    <w:p>
      <w:pPr>
        <w:spacing w:after="0" w:line="19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1060" w:type="dxa"/>
            <w:vAlign w:val="bottom"/>
          </w:tcPr>
          <w:p>
            <w:pPr>
              <w:jc w:val="right"/>
              <w:ind w:right="85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517</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2027</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719</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736</w:t>
            </w:r>
          </w:p>
        </w:tc>
      </w:tr>
      <w:tr>
        <w:trPr>
          <w:trHeight w:val="203"/>
        </w:trPr>
        <w:tc>
          <w:tcPr>
            <w:tcW w:w="57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2029</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753</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2030</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702</w:t>
            </w:r>
          </w:p>
        </w:tc>
      </w:tr>
      <w:tr>
        <w:trPr>
          <w:trHeight w:val="203"/>
        </w:trPr>
        <w:tc>
          <w:tcPr>
            <w:tcW w:w="57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100</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060" w:type="dxa"/>
            <w:vAlign w:val="bottom"/>
          </w:tcPr>
          <w:p>
            <w:pPr>
              <w:spacing w:after="0"/>
              <w:rPr>
                <w:sz w:val="17"/>
                <w:szCs w:val="17"/>
                <w:color w:val="auto"/>
              </w:rPr>
            </w:pPr>
          </w:p>
        </w:tc>
        <w:tc>
          <w:tcPr>
            <w:tcW w:w="16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3,527</w:t>
            </w: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(899)</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60" w:type="dxa"/>
            <w:vAlign w:val="bottom"/>
          </w:tcPr>
          <w:p>
            <w:pPr>
              <w:spacing w:after="0"/>
              <w:rPr>
                <w:sz w:val="17"/>
                <w:szCs w:val="17"/>
                <w:color w:val="auto"/>
              </w:rPr>
            </w:pPr>
          </w:p>
        </w:tc>
        <w:tc>
          <w:tcPr>
            <w:tcW w:w="16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2,628</w:t>
            </w: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operating lease liabilities, current</w:t>
            </w:r>
          </w:p>
        </w:tc>
        <w:tc>
          <w:tcPr>
            <w:tcW w:w="10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(667)</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Operating lease liabilities, non-current</w:t>
            </w:r>
          </w:p>
        </w:tc>
        <w:tc>
          <w:tcPr>
            <w:tcW w:w="106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1,961</w:t>
            </w:r>
          </w:p>
        </w:tc>
      </w:tr>
      <w:tr>
        <w:trPr>
          <w:trHeight w:val="20"/>
        </w:trPr>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1060" w:type="dxa"/>
            <w:vAlign w:val="bottom"/>
          </w:tcPr>
          <w:p>
            <w:pPr>
              <w:spacing w:after="0"/>
              <w:rPr>
                <w:sz w:val="17"/>
                <w:szCs w:val="17"/>
                <w:color w:val="auto"/>
              </w:rPr>
            </w:pP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4.74</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incremental borrowing rate</w:t>
            </w:r>
          </w:p>
        </w:tc>
        <w:tc>
          <w:tcPr>
            <w:tcW w:w="10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13.83%</w:t>
            </w:r>
          </w:p>
        </w:tc>
      </w:tr>
    </w:tbl>
    <w:p>
      <w:pPr>
        <w:spacing w:after="0" w:line="157"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Operating cash flows for each of the three months ended March 31, 2026 and 2025 included cash payments for operating leases of approximately $0.2 million.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980" w:type="dxa"/>
            <w:vAlign w:val="bottom"/>
            <w:gridSpan w:val="2"/>
          </w:tcPr>
          <w:p>
            <w:pPr>
              <w:spacing w:after="0"/>
              <w:rPr>
                <w:sz w:val="20"/>
                <w:szCs w:val="20"/>
                <w:color w:val="auto"/>
              </w:rPr>
            </w:pPr>
            <w:r>
              <w:rPr>
                <w:rFonts w:ascii="Arial" w:cs="Arial" w:eastAsia="Arial" w:hAnsi="Arial"/>
                <w:sz w:val="20"/>
                <w:szCs w:val="20"/>
                <w:b w:val="1"/>
                <w:bCs w:val="1"/>
                <w:color w:val="auto"/>
              </w:rPr>
              <w:t>5</w:t>
            </w:r>
            <w:r>
              <w:rPr>
                <w:rFonts w:ascii="Arial" w:cs="Arial" w:eastAsia="Arial" w:hAnsi="Arial"/>
                <w:sz w:val="17"/>
                <w:szCs w:val="17"/>
                <w:b w:val="1"/>
                <w:bCs w:val="1"/>
                <w:color w:val="auto"/>
              </w:rPr>
              <w:t>. Debt</w:t>
            </w: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376"/>
        </w:trPr>
        <w:tc>
          <w:tcPr>
            <w:tcW w:w="598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2"/>
        </w:trPr>
        <w:tc>
          <w:tcPr>
            <w:tcW w:w="1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4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196"/>
        </w:trPr>
        <w:tc>
          <w:tcPr>
            <w:tcW w:w="1420" w:type="dxa"/>
            <w:vAlign w:val="bottom"/>
          </w:tcPr>
          <w:p>
            <w:pPr>
              <w:spacing w:after="0"/>
              <w:rPr>
                <w:sz w:val="17"/>
                <w:szCs w:val="17"/>
                <w:color w:val="auto"/>
              </w:rPr>
            </w:pPr>
          </w:p>
        </w:tc>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 current portion</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14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Long-term debt, non-current portion</w:t>
            </w:r>
          </w:p>
        </w:tc>
        <w:tc>
          <w:tcPr>
            <w:tcW w:w="28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216,495</w:t>
            </w:r>
          </w:p>
        </w:tc>
      </w:tr>
      <w:tr>
        <w:trPr>
          <w:trHeight w:val="203"/>
        </w:trPr>
        <w:tc>
          <w:tcPr>
            <w:tcW w:w="1420" w:type="dxa"/>
            <w:vAlign w:val="bottom"/>
          </w:tcPr>
          <w:p>
            <w:pPr>
              <w:spacing w:after="0"/>
              <w:rPr>
                <w:sz w:val="17"/>
                <w:szCs w:val="17"/>
                <w:color w:val="auto"/>
              </w:rPr>
            </w:pPr>
          </w:p>
        </w:tc>
        <w:tc>
          <w:tcPr>
            <w:tcW w:w="4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Unamortized debt discount</w:t>
            </w: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(11,325)</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(7,408)</w:t>
            </w:r>
          </w:p>
        </w:tc>
      </w:tr>
      <w:tr>
        <w:trPr>
          <w:trHeight w:val="210"/>
        </w:trPr>
        <w:tc>
          <w:tcPr>
            <w:tcW w:w="1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163,675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209,087</w:t>
            </w:r>
          </w:p>
        </w:tc>
      </w:tr>
      <w:tr>
        <w:trPr>
          <w:trHeight w:val="20"/>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September 17, 2021, or the Closing Date, the Company entered into a Loan and Security Agreement, or, the Loan Agreement, with Hercules Capital, Inc., or Hercules, in its capacity as administrative agent and collateral agent and as a lender, or, in such capacity, the Agent or Hercules, and the other financial institutions that from time to time become parties to the Loan Agreement as lenders. The Loan Agreement initially provided for term loans in an aggregate principal amount of up to $200 million under multiple tranches. The Company has entered into several amendments to the Loan Agreement since the initial advance and the current loan terms provided for in the latest amendment are described below.</w:t>
      </w:r>
    </w:p>
    <w:p>
      <w:pPr>
        <w:spacing w:after="0" w:line="152"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On February 25, 2026, or the Fifth Amendment Closing Date, the Company entered into the Fifth Amendment to the Loan and Security Agreement, or the Fifth Loan Amendment, which, among other things, (i) provided for a new term loan advance of $175 million, or the Term Loan Advance, the proceeds of which, along with cash on the Company's balance sheet, were used to repay in full the existing secured obligations outstanding under the Loan Agreement, including principal, capitalized payment-in-kind interest, cash interest, existing final fee payments, and any applicable prepayment fees, (ii) provided for an additional loan tranche of up to $25 million which shall be available to the Company in the lenders’ discretion, (iii) extended the maturity date from December 1, 2027 to February 1, 2029, or the Maturity Date, subject to further extension to December 1, 2030 upon the achievement of a specified revenue milestone and subject to a certain pro forma liquidity test, (iv) extended the interest only period from October 2026 to December 2027, thereafter, monthly payment of interest and principal repayments at 2.5% of the aggregate original principal balance of the Term Loan Advance through the Maturity Date, with any remaining payments to be repaid in full on the Maturity Date, (v) cash interest rate set at floating rate based on the greater of (a) US WSJ Prime +</w:t>
      </w:r>
    </w:p>
    <w:p>
      <w:pPr>
        <w:spacing w:after="0" w:line="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3.10% or (b) 9.85%, (vi) eliminated the payment-in-kind interest rate of 2.15% per annum, (vii) amended the prepayment charge, which is a percentage of the principal amount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 2.00%; (c) if the Term Loan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p>
      <w:pPr>
        <w:ind w:right="60"/>
        <w:spacing w:after="0" w:line="239" w:lineRule="auto"/>
        <w:rPr>
          <w:sz w:val="20"/>
          <w:szCs w:val="20"/>
          <w:color w:val="auto"/>
        </w:rPr>
      </w:pPr>
      <w:r>
        <w:rPr>
          <w:rFonts w:ascii="Arial" w:cs="Arial" w:eastAsia="Arial" w:hAnsi="Arial"/>
          <w:sz w:val="18"/>
          <w:szCs w:val="18"/>
          <w:color w:val="auto"/>
        </w:rPr>
        <w:t>Advances are prepaid on or after the twenty-fourth month anniversary of the Fifth Amendment Closing Date but prior to the thirty-sixth month anniversary of the Fifth Amendment Closing Date, 1.50%; (d) thereafter, 1.00%; provided that (x) any such prepayment charge shall be reduced by 50.0% if such prepayment is a result of a change in control and (y) upon any refinancing by Hercules such prepayment charge shall be waived in full; and (viii) provided for a new final payment fee which is as a percentage of the Term Loan Advance, calculated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 As of March 31, 2026, the Company recorded $3.5 million within other long-term liabilities for the new final payment fee based on the Term Loan Advance being repaid by the Maturity Date.</w:t>
      </w:r>
    </w:p>
    <w:p>
      <w:pPr>
        <w:spacing w:after="0" w:line="15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The Company accounted for the Fifth Loan Amendment in accordance with </w:t>
      </w:r>
      <w:r>
        <w:rPr>
          <w:rFonts w:ascii="Arial" w:cs="Arial" w:eastAsia="Arial" w:hAnsi="Arial"/>
          <w:sz w:val="18"/>
          <w:szCs w:val="18"/>
          <w:i w:val="1"/>
          <w:iCs w:val="1"/>
          <w:color w:val="auto"/>
        </w:rPr>
        <w:t>ASC 470-50, Modification and Extinguishments</w:t>
      </w:r>
      <w:r>
        <w:rPr>
          <w:rFonts w:ascii="Arial" w:cs="Arial" w:eastAsia="Arial" w:hAnsi="Arial"/>
          <w:sz w:val="18"/>
          <w:szCs w:val="18"/>
          <w:color w:val="auto"/>
        </w:rPr>
        <w:t>, or ASC 470-50, to determine if the transaction was treated as a modification or an extinguishment of debt. The Company reviewed the debt terms and determined the change would be accounted for prospectively as a partial debt extinguishment in accordance with ASC 470-50. As a result, the Company expensed a portion of the remaining deferred debt issuance costs and fees of $0.8 million associated with the debt prior to the Fifth Loan Amendment, as a loss on partial debt extinguishment within other expense, net in the condensed statements of operations and comprehensive loss for the three months ended March 31, 2026. Prior to the Fifth Loan Amendment, there were approximately $6.9 million of deferred debt issuance costs remaining to be amortized. The partial extinguishment and modification resulted in a net reduction in deferred issuance fees of $0.5 million with a remaining balance of $6.4 million in debt issuance costs capitalized to be amortized over the three year life of the new debt.</w:t>
      </w:r>
    </w:p>
    <w:p>
      <w:pPr>
        <w:spacing w:after="0" w:line="102"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27"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Fifth Loan Amendment include (i) a minimum cash covenant and (ii) a performance covenant as follows:</w:t>
      </w:r>
    </w:p>
    <w:p>
      <w:pPr>
        <w:spacing w:after="0" w:line="61" w:lineRule="exact"/>
        <w:rPr>
          <w:sz w:val="20"/>
          <w:szCs w:val="20"/>
          <w:color w:val="auto"/>
        </w:rPr>
      </w:pPr>
    </w:p>
    <w:p>
      <w:pPr>
        <w:ind w:left="1020" w:right="80" w:hanging="503"/>
        <w:spacing w:after="0" w:line="245" w:lineRule="auto"/>
        <w:tabs>
          <w:tab w:leader="none" w:pos="102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Minimum cash covenant - The Company must maintain a minimum cash balance of 20% of the outstanding principal balance at all times, which will decrease to 15% of the outstanding principal amount upon the Company reporting and maintaining $75 million of trailing three months net product revenue.</w:t>
      </w:r>
    </w:p>
    <w:p>
      <w:pPr>
        <w:spacing w:after="0" w:line="68" w:lineRule="exact"/>
        <w:rPr>
          <w:rFonts w:ascii="Calibri" w:cs="Calibri" w:eastAsia="Calibri" w:hAnsi="Calibri"/>
          <w:sz w:val="18"/>
          <w:szCs w:val="18"/>
          <w:color w:val="auto"/>
        </w:rPr>
      </w:pPr>
    </w:p>
    <w:p>
      <w:pPr>
        <w:ind w:left="1020" w:hanging="503"/>
        <w:spacing w:after="0"/>
        <w:tabs>
          <w:tab w:leader="none" w:pos="102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Performance covenant - In addition, the Company must satisfy any one of the following:</w:t>
      </w:r>
    </w:p>
    <w:p>
      <w:pPr>
        <w:spacing w:after="0" w:line="117" w:lineRule="exact"/>
        <w:rPr>
          <w:rFonts w:ascii="Calibri" w:cs="Calibri" w:eastAsia="Calibri" w:hAnsi="Calibri"/>
          <w:sz w:val="18"/>
          <w:szCs w:val="18"/>
          <w:color w:val="auto"/>
        </w:rPr>
      </w:pPr>
    </w:p>
    <w:p>
      <w:pPr>
        <w:ind w:left="1540" w:hanging="514"/>
        <w:spacing w:after="0"/>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80" w:hanging="514"/>
        <w:spacing w:after="0" w:line="245" w:lineRule="auto"/>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Minimum cash balance of 50% of the outstanding principal amount of the term loans, which will decrease to 40% upon achieving $65 million of trailing three months net product revenue, and to 30% upon achieving $85 million of trailing three months net product revenue; or</w:t>
      </w:r>
    </w:p>
    <w:p>
      <w:pPr>
        <w:spacing w:after="0" w:line="68" w:lineRule="exact"/>
        <w:rPr>
          <w:rFonts w:ascii="Calibri" w:cs="Calibri" w:eastAsia="Calibri" w:hAnsi="Calibri"/>
          <w:sz w:val="18"/>
          <w:szCs w:val="18"/>
          <w:color w:val="auto"/>
        </w:rPr>
      </w:pPr>
    </w:p>
    <w:p>
      <w:pPr>
        <w:ind w:left="1540" w:right="300" w:hanging="514"/>
        <w:spacing w:after="0" w:line="256" w:lineRule="auto"/>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equal to 75% of projected revenue in 2026 and 70% of projected revenue in 2027 and beyond, tested on a quarterly basis.</w:t>
      </w:r>
    </w:p>
    <w:p>
      <w:pPr>
        <w:spacing w:after="0" w:line="125"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the Company may be declared immediately due and payable by Hercules, as collateral agent.</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2026, the Company was in compliance with all applicable covenants under the Loan Agreement.</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connection with the entry into the initial Loan Agreement, the Company issued to Hercules a warrant, or the Warrant, to purchase a number of shares of the Company’s common stock equal to 2.5% of the aggregate amount of the Term Loan advances. On the Closing Date, the Company issued a Warrant for 74,782 shares of common stock. The Warrant will be exercisable until September 17, 2028 (seven years from the date of issuance) at a per-share exercise price equal to $33.43, which was the closing price of the Company’s common stock on September 16, 2021. The Warrant issued with the initial tranche was not modified as part of the Fifth Loan Amendment. The exercise price and terms of the outstanding Warrant remain unchanged.</w:t>
      </w:r>
    </w:p>
    <w:p>
      <w:pPr>
        <w:spacing w:after="0" w:line="13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$3.5 million of final payment fees and $1.8 million facility fee incurred as part of the Fifth Loan Amendment, along with the $6.4 million of unamortized debt issuance costs as a result of the debt modification, have been recorded as debt discount and are being amortized to interest expense using the effective interest method over the remaining term of the Loan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3" w:name="page14"/>
    <w:bookmarkEnd w:id="13"/>
    <w:p>
      <w:pPr>
        <w:ind w:right="120" w:firstLine="509"/>
        <w:spacing w:after="0" w:line="271" w:lineRule="auto"/>
        <w:rPr>
          <w:sz w:val="20"/>
          <w:szCs w:val="20"/>
          <w:color w:val="auto"/>
        </w:rPr>
      </w:pPr>
      <w:r>
        <w:rPr>
          <w:rFonts w:ascii="Arial" w:cs="Arial" w:eastAsia="Arial" w:hAnsi="Arial"/>
          <w:sz w:val="18"/>
          <w:szCs w:val="18"/>
          <w:color w:val="auto"/>
        </w:rPr>
        <w:t>Future minimum principal payments under the Loan Agreement, including the final payment fees, as of March 31, 2026 are as follows (in thousands):</w:t>
      </w:r>
    </w:p>
    <w:p>
      <w:pPr>
        <w:spacing w:after="0" w:line="141"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6380" w:type="dxa"/>
            <w:vAlign w:val="bottom"/>
          </w:tcPr>
          <w:p>
            <w:pPr>
              <w:jc w:val="right"/>
              <w:ind w:right="5790"/>
              <w:spacing w:after="0" w:line="202" w:lineRule="exact"/>
              <w:rPr>
                <w:sz w:val="20"/>
                <w:szCs w:val="20"/>
                <w:color w:val="auto"/>
              </w:rPr>
            </w:pPr>
            <w:r>
              <w:rPr>
                <w:rFonts w:ascii="Arial" w:cs="Arial" w:eastAsia="Arial" w:hAnsi="Arial"/>
                <w:sz w:val="18"/>
                <w:szCs w:val="18"/>
                <w:color w:val="auto"/>
              </w:rPr>
              <w:t>2026</w:t>
            </w:r>
          </w:p>
        </w:tc>
        <w:tc>
          <w:tcPr>
            <w:tcW w:w="70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shd w:val="clear" w:color="auto" w:fill="CFF0FC"/>
          </w:tcPr>
          <w:p>
            <w:pPr>
              <w:jc w:val="right"/>
              <w:ind w:right="5790"/>
              <w:spacing w:after="0" w:line="202" w:lineRule="exact"/>
              <w:rPr>
                <w:sz w:val="20"/>
                <w:szCs w:val="20"/>
                <w:color w:val="auto"/>
              </w:rPr>
            </w:pPr>
            <w:r>
              <w:rPr>
                <w:rFonts w:ascii="Arial" w:cs="Arial" w:eastAsia="Arial" w:hAnsi="Arial"/>
                <w:sz w:val="18"/>
                <w:szCs w:val="18"/>
                <w:color w:val="auto"/>
              </w:rPr>
              <w:t>2027</w:t>
            </w: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tcPr>
          <w:p>
            <w:pPr>
              <w:jc w:val="right"/>
              <w:ind w:right="5790"/>
              <w:spacing w:after="0" w:line="202" w:lineRule="exact"/>
              <w:rPr>
                <w:sz w:val="20"/>
                <w:szCs w:val="20"/>
                <w:color w:val="auto"/>
              </w:rPr>
            </w:pPr>
            <w:r>
              <w:rPr>
                <w:rFonts w:ascii="Arial" w:cs="Arial" w:eastAsia="Arial" w:hAnsi="Arial"/>
                <w:sz w:val="18"/>
                <w:szCs w:val="18"/>
                <w:color w:val="auto"/>
              </w:rPr>
              <w:t>2028</w:t>
            </w:r>
          </w:p>
        </w:tc>
        <w:tc>
          <w:tcPr>
            <w:tcW w:w="70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52,500</w:t>
            </w:r>
          </w:p>
        </w:tc>
      </w:tr>
      <w:tr>
        <w:trPr>
          <w:trHeight w:val="203"/>
        </w:trPr>
        <w:tc>
          <w:tcPr>
            <w:tcW w:w="6380" w:type="dxa"/>
            <w:vAlign w:val="bottom"/>
            <w:tcBorders>
              <w:bottom w:val="single" w:sz="8" w:color="CFF0FC"/>
            </w:tcBorders>
            <w:shd w:val="clear" w:color="auto" w:fill="CFF0FC"/>
          </w:tcPr>
          <w:p>
            <w:pPr>
              <w:jc w:val="right"/>
              <w:ind w:right="5790"/>
              <w:spacing w:after="0" w:line="202" w:lineRule="exact"/>
              <w:rPr>
                <w:sz w:val="20"/>
                <w:szCs w:val="20"/>
                <w:color w:val="auto"/>
              </w:rPr>
            </w:pPr>
            <w:r>
              <w:rPr>
                <w:rFonts w:ascii="Arial" w:cs="Arial" w:eastAsia="Arial" w:hAnsi="Arial"/>
                <w:sz w:val="18"/>
                <w:szCs w:val="18"/>
                <w:color w:val="auto"/>
              </w:rPr>
              <w:t>2029</w:t>
            </w:r>
          </w:p>
        </w:tc>
        <w:tc>
          <w:tcPr>
            <w:tcW w:w="7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126,000</w:t>
            </w: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Total principal payments</w:t>
            </w:r>
          </w:p>
        </w:tc>
        <w:tc>
          <w:tcPr>
            <w:tcW w:w="70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178,500</w:t>
            </w:r>
          </w:p>
        </w:tc>
      </w:tr>
      <w:tr>
        <w:trPr>
          <w:trHeight w:val="203"/>
        </w:trPr>
        <w:tc>
          <w:tcPr>
            <w:tcW w:w="6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final payment fees</w:t>
            </w:r>
          </w:p>
        </w:tc>
        <w:tc>
          <w:tcPr>
            <w:tcW w:w="7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w:t>
            </w: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Total term loan borrowings</w:t>
            </w:r>
          </w:p>
        </w:tc>
        <w:tc>
          <w:tcPr>
            <w:tcW w:w="7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175,000</w:t>
            </w: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During the three months ended March 31, 2026 and 2025, the Company recognized $6.5 million and $7.1 million, respectively, of interest expense, including amortization of the debt discount, in connection with the Loan Agreement. As of March 31, 2026, the Company had an outstanding loan balance of $175.0 million and accrued interest of $1.7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Interest Financing Liability</w:t>
      </w:r>
    </w:p>
    <w:p>
      <w:pPr>
        <w:spacing w:after="0" w:line="185"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On May 3, 2022, the Company entered into a Revenue Interest Financing Agreement with Initial Investors NovaQuest Capital Management, or NQ, Sagard Holdings Manager LP, or Sagard, and Hercules pursuant to which the Company had the right to receive up to $260 million in funding from the Initial Investors. Under the terms of the Revenue Interest Financing Agreement, the Company received $100 million at the initial closing and received an additional $160 million upon FDA approval of VOQUEZNA for treatment of Erosive GERD during the fourth quarter of 2023.</w:t>
      </w:r>
    </w:p>
    <w:p>
      <w:pPr>
        <w:spacing w:after="0" w:line="136"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Additionally, on October 31, 2022, the Company entered into a Joinder Agreement with the Initial Investors and CO Finance LVS XXXVII LLC, or the Additional Investor, and Hercules, together as the investors. Under the terms of the Joinder Agreement, the Company received $15 million in additional funding upon FDA approval of vonoprazan for Erosive GERD, or Approval Additional Funding, during the fourth quarter of 2023, and provided for $25 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joined the Revenue Interest Financing Agreement to extend commitments for the Additional Investor Funding. On December 23, 2024, CO Finance LVS XXXVII LLC agreed to assign and transfer to OC</w:t>
      </w:r>
    </w:p>
    <w:p>
      <w:pPr>
        <w:spacing w:after="0" w:line="4" w:lineRule="exact"/>
        <w:rPr>
          <w:sz w:val="20"/>
          <w:szCs w:val="20"/>
          <w:color w:val="auto"/>
        </w:rPr>
      </w:pPr>
    </w:p>
    <w:p>
      <w:pPr>
        <w:ind w:firstLine="8"/>
        <w:spacing w:after="0" w:line="242"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LVS LX LP all of its rights, title and interest as an Additional Investor and in connection therewith, OC III LVS LX LP executed a Joinder Agreement. The total amount funded by the Initial Investors and any subsequent investors is referred to herein as the Investment Amount. As of March 31, 2026, no additional funding is available under the Revenue Interest Financing Agreement.</w:t>
      </w:r>
    </w:p>
    <w:p>
      <w:pPr>
        <w:spacing w:after="0" w:line="139"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received aggregate payments equal to 200% of the Investment Amount. In addition, at any time after April 30, 2024, the Company has the right to make a cap payment equal to 200% of the Investment Amount less any royalties already paid, at which time the agreement will terminate.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w:t>
      </w:r>
    </w:p>
    <w:p>
      <w:pPr>
        <w:spacing w:after="0" w:line="14" w:lineRule="exact"/>
        <w:rPr>
          <w:sz w:val="20"/>
          <w:szCs w:val="20"/>
          <w:color w:val="auto"/>
        </w:rPr>
      </w:pPr>
    </w:p>
    <w:p>
      <w:pPr>
        <w:ind w:right="440"/>
        <w:spacing w:after="0" w:line="242" w:lineRule="auto"/>
        <w:rPr>
          <w:sz w:val="20"/>
          <w:szCs w:val="20"/>
          <w:color w:val="auto"/>
        </w:rPr>
      </w:pPr>
      <w:r>
        <w:rPr>
          <w:rFonts w:ascii="Arial" w:cs="Arial" w:eastAsia="Arial" w:hAnsi="Arial"/>
          <w:sz w:val="18"/>
          <w:szCs w:val="18"/>
          <w:color w:val="auto"/>
        </w:rPr>
        <w:t>200% of the Investment Amount by December 31, 2037, each a Minimum Amount, then the Company will be obligated to make a cash payment to the investors in an amount sufficient to gross the investors up to the applicable Minimum Amount. As of March 31, 2026, the aggregate payments made to investors under the Revenue Interest Financing Agreement equaled $23.1 million.</w:t>
      </w:r>
    </w:p>
    <w:p>
      <w:pPr>
        <w:spacing w:after="0" w:line="13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the Company is obligated to pay 1.65 times Investment Amount and 2.0 times Investment Amount, respectively, less any amounts the Company previously paid pursuant to the agreement.</w:t>
      </w:r>
    </w:p>
    <w:p>
      <w:pPr>
        <w:spacing w:after="0" w:line="128"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Additionally, under the terms of Revenue Interest Financing Agreement, the Company is subject to a minimum cash covenant of at least (a) beginning on the date that the Hercules Loan Agreement is terminated and each day thereafter until September 30, 2026, $30 million, and (b) beginning on October 1, 2026 and on each day thereafter until September 30, 2029, a certain percentage of the minimum cash reference amount defined as the difference between the Investment Amount and the amount of all royalty payments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4" w:name="page15"/>
    <w:bookmarkEnd w:id="14"/>
    <w:p>
      <w:pPr>
        <w:ind w:right="400"/>
        <w:spacing w:after="0" w:line="253" w:lineRule="auto"/>
        <w:rPr>
          <w:sz w:val="20"/>
          <w:szCs w:val="20"/>
          <w:color w:val="auto"/>
        </w:rPr>
      </w:pPr>
      <w:r>
        <w:rPr>
          <w:rFonts w:ascii="Arial" w:cs="Arial" w:eastAsia="Arial" w:hAnsi="Arial"/>
          <w:sz w:val="18"/>
          <w:szCs w:val="18"/>
          <w:color w:val="auto"/>
        </w:rPr>
        <w:t>received by the Investors as of each such date as follows: (i) 50% from October 1, 2026 to September 30, 2027 (ii) 75% from October 1, 2027 to September 30, 2028, and (iii) 100% from October 1, 2028 to September 30, 2029. As of March 31, 2026, the Company was in compliance with all applicable covenants under the Revenue Interest Financing Agreement.</w:t>
      </w:r>
    </w:p>
    <w:p>
      <w:pPr>
        <w:spacing w:after="0" w:line="142"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March 31, 2026, the effective interest rate of the revenue interest financing liability was approximately</w:t>
      </w:r>
    </w:p>
    <w:p>
      <w:pPr>
        <w:spacing w:after="0" w:line="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10.20%. Changes in future payments from previous estimates are included in the current and future interest expense. The carrying value of the revenue interest financing liability was $380.9 million and $377.4 million as of March 31, 2026 and December 31, 2025, respectively.</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 interest financing liability consists of the following (in thousands):</w:t>
            </w: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58"/>
        </w:trPr>
        <w:tc>
          <w:tcPr>
            <w:tcW w:w="9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2025</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353,038</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(14,719)</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39,052</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December 31, 2025</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377,371</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(27,249)</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December 31, 2025</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350,122</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2026</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377,371</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(5,758)</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9,301</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March 31, 2026</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380,914</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(33,016)</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March 31, 2026</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347,898</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During the three months ended March 31, 2026 and 2025, the Company recognized $9.3 million and $11.0 million, respectively, of interest expense in connection with the revenue interest financing liability.</w:t>
      </w:r>
    </w:p>
    <w:p>
      <w:pPr>
        <w:spacing w:after="0" w:line="11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From inception through March 31, 2026, the Company sold 41,612,032 shares of common stock and 3,859,000 pre-funded warrants, generating net proceeds of approximately $665.3 million, after deducting underwriting discounts, commissions and offering costs.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Underwritten Public Offering</w:t>
      </w:r>
    </w:p>
    <w:p>
      <w:pPr>
        <w:spacing w:after="0" w:line="18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January 2026, the Company sold 6,875,000 shares of common stock at a price of $16.00 per share and pre-funded warrants to purchase 1,250,078 shares of common stock at a price of $15.999 per pre-funded warrant, which represents the per share price for the common stock less the $0.001 per share exercise price for each such pre-funded warrant. The Company received gross proceeds of $130.0 million, before deducting underwriting discounts and commissions. The net purchase price after deducting the underwriting discounts and commissions and other offering expenses, was $15.01 per share or net proceeds of $122.0 million. Certain affiliates of Frazier Life Sciences IX, L.P., or Frazier, a significant stockholder and Dr. James Topper, who currently serves on the Company's Board of Directors, share voting and investment power of the securities held by Frazier. Frazier participated in the offering by purchasing pre-funded warrants on the same terms as all other investors at a purchase price of $15.999, which represents the per share public offering price for the common stock less the $0.001 per share exercise price for each pre-funded warrant. Each pre-funded warrant became exercisable upon issuance and will not expire until exercised in full. The pre-funded warrants may not be exercised if the aggregate number of ordinary shares beneficially owned by the holders thereof immediately following such exercise would exceed a specified beneficial ownership limitation.</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pre-funded warrants from the offering were classified as a component of equity in the Company's condensed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 $18.8 million was allocated to the pre-funded warrants and recorded as a component of additional paid-in capital for the three months ended March 31, 2026. As of March 31, 2026, none of the pre-funded warrants have been exercised.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Offerings</w:t>
      </w:r>
    </w:p>
    <w:p>
      <w:pPr>
        <w:spacing w:after="0" w:line="188" w:lineRule="exact"/>
        <w:rPr>
          <w:sz w:val="20"/>
          <w:szCs w:val="20"/>
          <w:color w:val="auto"/>
        </w:rPr>
      </w:pPr>
    </w:p>
    <w:p>
      <w:pPr>
        <w:jc w:val="both"/>
        <w:ind w:right="140" w:firstLine="509"/>
        <w:spacing w:after="0" w:line="226" w:lineRule="auto"/>
        <w:rPr>
          <w:sz w:val="20"/>
          <w:szCs w:val="20"/>
          <w:color w:val="auto"/>
        </w:rPr>
      </w:pPr>
      <w:r>
        <w:rPr>
          <w:rFonts w:ascii="Arial" w:cs="Arial" w:eastAsia="Arial" w:hAnsi="Arial"/>
          <w:sz w:val="18"/>
          <w:szCs w:val="18"/>
          <w:color w:val="auto"/>
        </w:rPr>
        <w:t>In November 2020, the Company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p>
    <w:p>
      <w:pPr>
        <w:spacing w:after="0" w:line="14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November 2023, the Company filed a shelf registration statement on Form S-3 which was declared effective by the SEC on November 17, 2023, which included an at-the-market prospectus pursuant to which the Company may, from time to time, sell up to an aggregate of $150 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No shares were sold during the three months ended March 31, 2026 and 2025. As of March 31, 2026, all of the available $150 million under the 2023 ATM Offering remains available.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Common Stock Reserves</w:t>
            </w:r>
          </w:p>
        </w:tc>
        <w:tc>
          <w:tcPr>
            <w:tcW w:w="2240" w:type="dxa"/>
            <w:vAlign w:val="bottom"/>
          </w:tcPr>
          <w:p>
            <w:pPr>
              <w:spacing w:after="0"/>
              <w:rPr>
                <w:sz w:val="20"/>
                <w:szCs w:val="20"/>
                <w:color w:val="auto"/>
              </w:rPr>
            </w:pPr>
          </w:p>
        </w:tc>
      </w:tr>
      <w:tr>
        <w:trPr>
          <w:trHeight w:val="392"/>
        </w:trPr>
        <w:tc>
          <w:tcPr>
            <w:tcW w:w="7600" w:type="dxa"/>
            <w:vAlign w:val="bottom"/>
            <w:gridSpan w:val="2"/>
          </w:tcPr>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2240" w:type="dxa"/>
            <w:vAlign w:val="bottom"/>
          </w:tcPr>
          <w:p>
            <w:pPr>
              <w:spacing w:after="0"/>
              <w:rPr>
                <w:sz w:val="24"/>
                <w:szCs w:val="24"/>
                <w:color w:val="auto"/>
              </w:rPr>
            </w:pPr>
          </w:p>
        </w:tc>
      </w:tr>
      <w:tr>
        <w:trPr>
          <w:trHeight w:val="360"/>
        </w:trPr>
        <w:tc>
          <w:tcPr>
            <w:tcW w:w="1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 2026</w:t>
            </w:r>
          </w:p>
        </w:tc>
      </w:tr>
      <w:tr>
        <w:trPr>
          <w:trHeight w:val="196"/>
        </w:trPr>
        <w:tc>
          <w:tcPr>
            <w:tcW w:w="14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 including pre-funded warrants</w:t>
            </w:r>
          </w:p>
        </w:tc>
        <w:tc>
          <w:tcPr>
            <w:tcW w:w="2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3,950,228</w:t>
            </w:r>
          </w:p>
        </w:tc>
      </w:tr>
      <w:tr>
        <w:trPr>
          <w:trHeight w:val="184"/>
        </w:trPr>
        <w:tc>
          <w:tcPr>
            <w:tcW w:w="1420" w:type="dxa"/>
            <w:vAlign w:val="bottom"/>
          </w:tcPr>
          <w:p>
            <w:pPr>
              <w:spacing w:after="0"/>
              <w:rPr>
                <w:sz w:val="15"/>
                <w:szCs w:val="15"/>
                <w:color w:val="auto"/>
              </w:rPr>
            </w:pPr>
          </w:p>
        </w:tc>
        <w:tc>
          <w:tcPr>
            <w:tcW w:w="6180" w:type="dxa"/>
            <w:vAlign w:val="bottom"/>
          </w:tcPr>
          <w:p>
            <w:pPr>
              <w:spacing w:after="0" w:line="183" w:lineRule="exact"/>
              <w:rPr>
                <w:sz w:val="20"/>
                <w:szCs w:val="20"/>
                <w:color w:val="auto"/>
              </w:rPr>
            </w:pPr>
            <w:r>
              <w:rPr>
                <w:rFonts w:ascii="Arial" w:cs="Arial" w:eastAsia="Arial" w:hAnsi="Arial"/>
                <w:sz w:val="18"/>
                <w:szCs w:val="18"/>
                <w:color w:val="auto"/>
              </w:rPr>
              <w:t>Stock options, performance stock units and restricted stock units</w:t>
            </w:r>
          </w:p>
        </w:tc>
        <w:tc>
          <w:tcPr>
            <w:tcW w:w="2240" w:type="dxa"/>
            <w:vAlign w:val="bottom"/>
          </w:tcPr>
          <w:p>
            <w:pPr>
              <w:spacing w:after="0"/>
              <w:rPr>
                <w:sz w:val="15"/>
                <w:szCs w:val="15"/>
                <w:color w:val="auto"/>
              </w:rPr>
            </w:pPr>
          </w:p>
        </w:tc>
      </w:tr>
      <w:tr>
        <w:trPr>
          <w:trHeight w:val="221"/>
        </w:trPr>
        <w:tc>
          <w:tcPr>
            <w:tcW w:w="14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outstanding</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12,979,597</w:t>
            </w:r>
          </w:p>
        </w:tc>
      </w:tr>
      <w:tr>
        <w:trPr>
          <w:trHeight w:val="203"/>
        </w:trPr>
        <w:tc>
          <w:tcPr>
            <w:tcW w:w="14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2019 Incentive Plan</w:t>
            </w:r>
          </w:p>
        </w:tc>
        <w:tc>
          <w:tcPr>
            <w:tcW w:w="2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3,495,959</w:t>
            </w:r>
          </w:p>
        </w:tc>
      </w:tr>
      <w:tr>
        <w:trPr>
          <w:trHeight w:val="203"/>
        </w:trPr>
        <w:tc>
          <w:tcPr>
            <w:tcW w:w="14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under the ESPP Plan</w:t>
            </w: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1,859,861</w:t>
            </w:r>
          </w:p>
        </w:tc>
      </w:tr>
      <w:tr>
        <w:trPr>
          <w:trHeight w:val="203"/>
        </w:trPr>
        <w:tc>
          <w:tcPr>
            <w:tcW w:w="1420" w:type="dxa"/>
            <w:vAlign w:val="bottom"/>
          </w:tcPr>
          <w:p>
            <w:pPr>
              <w:spacing w:after="0"/>
              <w:rPr>
                <w:sz w:val="17"/>
                <w:szCs w:val="17"/>
                <w:color w:val="auto"/>
              </w:rPr>
            </w:pPr>
          </w:p>
        </w:tc>
        <w:tc>
          <w:tcPr>
            <w:tcW w:w="6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Inducement Plan</w:t>
            </w:r>
          </w:p>
        </w:tc>
        <w:tc>
          <w:tcPr>
            <w:tcW w:w="22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409,661</w:t>
            </w:r>
          </w:p>
        </w:tc>
      </w:tr>
      <w:tr>
        <w:trPr>
          <w:trHeight w:val="196"/>
        </w:trPr>
        <w:tc>
          <w:tcPr>
            <w:tcW w:w="1420" w:type="dxa"/>
            <w:vAlign w:val="bottom"/>
          </w:tcPr>
          <w:p>
            <w:pPr>
              <w:spacing w:after="0"/>
              <w:rPr>
                <w:sz w:val="17"/>
                <w:szCs w:val="17"/>
                <w:color w:val="auto"/>
              </w:rPr>
            </w:pPr>
          </w:p>
        </w:tc>
        <w:tc>
          <w:tcPr>
            <w:tcW w:w="6180" w:type="dxa"/>
            <w:vAlign w:val="bottom"/>
          </w:tcPr>
          <w:p>
            <w:pPr>
              <w:spacing w:after="0" w:line="196" w:lineRule="exact"/>
              <w:rPr>
                <w:sz w:val="20"/>
                <w:szCs w:val="20"/>
                <w:color w:val="auto"/>
              </w:rPr>
            </w:pPr>
            <w:r>
              <w:rPr>
                <w:rFonts w:ascii="Arial" w:cs="Arial" w:eastAsia="Arial" w:hAnsi="Arial"/>
                <w:sz w:val="18"/>
                <w:szCs w:val="18"/>
                <w:color w:val="auto"/>
              </w:rPr>
              <w:t>Balance at March 31, 2026</w:t>
            </w:r>
          </w:p>
        </w:tc>
        <w:tc>
          <w:tcPr>
            <w:tcW w:w="2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22,695,306</w:t>
            </w:r>
          </w:p>
        </w:tc>
      </w:tr>
      <w:tr>
        <w:trPr>
          <w:trHeight w:val="20"/>
        </w:trPr>
        <w:tc>
          <w:tcPr>
            <w:tcW w:w="14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Company is authorized to issue up to 40 million shares of preferred stock. As of March 31, 2026 and December 31, 2025, there were no shares of preferred stock issued or outstanding.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2019 Equity Incentive Plan, or the Prior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Prior Incentive Plan, of which, 1,400,528 stock options and 16,260 restricted stock awards were granted in 2019. As a result of the adoption of the 2019 Incentive Award Plan, or the 2019 Plan, in October 2019, no further awards may be available for issuance under the Prior Incentive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or RSUs, performance stock units, or PSUs,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Prior Incentive Plan that expire or otherwise terminate without having been exercised in full after the effective date of the 2019 Plan and unvested shares issued pursuant to awards granted under the Prior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5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of March 31, 2026, 3,495,959 shares remain available for issuance under the 2019 Plan, which reflects 1,859,709 stock options, RSUs and PSUs granted, and 167,340 of awards cancelled or forfeited, during the three months ended March 31, 2026 as well as an annual increase of 3,570,952 shares authorized on January 1,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Employment Inducement Incentive Award Plan</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March 30, 2025, the Board of Directors adopted the 2025 Employment Inducement Incentive Award Plan, or the Inducement Plan, and reserved 2,500,000 shares of the Company’s common stock for issuance pursuant to equity awards granted under the Inducement Plan to individuals not previously employees or non-employee directors of the Company (or following such individuals’ bona fide period of non-employment with the Company) as an inducement to join the Company. The Inducement Plan provides for the grant of equity-based awards, including nonstatutory stock options, RSUs, restricted stock, stock appreciation rights, performance shares and PSUs, and its terms are substantially similar to the Company’s 2019 Plan, but with such other terms and conditions intended to comply with the Nasdaq inducement award exception or to comply with the Nasdaq acquisition and merger exception. As of March 31, 2026, the Company granted 2,090,339 stock options, RSUs and PSUs under the Inducement Plan and 409,661 shares remain available for issuance.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In 2025, the Board of Directors approved the grant of PSUs, whereby vesting depends on certain revenue performance milestones for 2025 and over the next two years and stock price hurdle PSUs.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Recognition of stock-based compensation expense relating to the stock price hurdle PSUs commenced on the date of grant and the expense is recognized ratably over the requisite service period of the award. The stock price hurdle PSUs are considered a market condition under FASB </w:t>
      </w:r>
      <w:r>
        <w:rPr>
          <w:rFonts w:ascii="Arial" w:cs="Arial" w:eastAsia="Arial" w:hAnsi="Arial"/>
          <w:sz w:val="18"/>
          <w:szCs w:val="18"/>
          <w:i w:val="1"/>
          <w:iCs w:val="1"/>
          <w:color w:val="auto"/>
        </w:rPr>
        <w:t>ASC Topic 718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and is estimated on the grant date using Monte Carlo simulations. The key assumptions used in determining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included an expected volatility of 86.84%, a dividend yield of zero, a risk-free interest rate of 3.67%, and an expected term of 3.75 years.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The following table summarizes PSU activity during the three months ended March 31, 2026:</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Date Fair</w:t>
            </w:r>
          </w:p>
        </w:tc>
      </w:tr>
      <w:tr>
        <w:trPr>
          <w:trHeight w:val="203"/>
        </w:trPr>
        <w:tc>
          <w:tcPr>
            <w:tcW w:w="568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Per Share</w:t>
            </w:r>
          </w:p>
        </w:tc>
        <w:tc>
          <w:tcPr>
            <w:tcW w:w="80" w:type="dxa"/>
            <w:vAlign w:val="bottom"/>
          </w:tcPr>
          <w:p>
            <w:pPr>
              <w:spacing w:after="0"/>
              <w:rPr>
                <w:sz w:val="19"/>
                <w:szCs w:val="19"/>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2026</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495,124</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7.39</w:t>
            </w:r>
          </w:p>
        </w:tc>
        <w:tc>
          <w:tcPr>
            <w:tcW w:w="80" w:type="dxa"/>
            <w:vAlign w:val="bottom"/>
            <w:shd w:val="clear" w:color="auto" w:fill="CFF0FC"/>
          </w:tcPr>
          <w:p>
            <w:pPr>
              <w:spacing w:after="0"/>
              <w:rPr>
                <w:sz w:val="17"/>
                <w:szCs w:val="17"/>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58,914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10.86</w:t>
            </w:r>
          </w:p>
        </w:tc>
        <w:tc>
          <w:tcPr>
            <w:tcW w:w="80" w:type="dxa"/>
            <w:vAlign w:val="bottom"/>
          </w:tcPr>
          <w:p>
            <w:pPr>
              <w:spacing w:after="0"/>
              <w:rPr>
                <w:sz w:val="17"/>
                <w:szCs w:val="17"/>
                <w:color w:val="auto"/>
              </w:rPr>
            </w:pP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(154,077)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w:t>
            </w:r>
          </w:p>
        </w:tc>
        <w:tc>
          <w:tcPr>
            <w:tcW w:w="80" w:type="dxa"/>
            <w:vAlign w:val="bottom"/>
            <w:shd w:val="clear" w:color="auto" w:fill="CFF0FC"/>
          </w:tcPr>
          <w:p>
            <w:pPr>
              <w:spacing w:after="0"/>
              <w:rPr>
                <w:sz w:val="17"/>
                <w:szCs w:val="17"/>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March 31, 2026</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393,636</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For performance milestone PSUs, stock-based compensation expense is recorded based on the market price of the Company's common stock on the grant date and is recognized if and when the achievement of such performance milestones are determined to be probable by the Company. During the three months ended March 31, 2026, a revenue performance milestone was considered probable, and the Company recognized stock-based compensation expense related to the probable vesting of PSUs. The fair value of the PSUs that vested during the three months ended March 31, 2026 was approximately $1.1 million.</w:t>
      </w:r>
    </w:p>
    <w:p>
      <w:pPr>
        <w:spacing w:after="0" w:line="136"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As of March 31, 2026, the Company had approximately $2.7 million of related unrecognized stock-based compensation expense related to PSUs, which is expected to be recognized over a weighted-average period of approximately 1.7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during the three months ended March 31, 2026:</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Date Fair</w:t>
            </w:r>
          </w:p>
        </w:tc>
      </w:tr>
      <w:tr>
        <w:trPr>
          <w:trHeight w:val="203"/>
        </w:trPr>
        <w:tc>
          <w:tcPr>
            <w:tcW w:w="56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 Share</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2026</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2,154,584</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6.73</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1,465,086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(596,943)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6.69</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(50,650)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9.83</w:t>
            </w:r>
          </w:p>
        </w:tc>
      </w:tr>
      <w:tr>
        <w:trPr>
          <w:trHeight w:val="21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March 31, 2026</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2,972,077</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10.09</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0"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As of March 31, 2026, the Company had $27.4 million of unrecognized stock-based compensation expense related to RSUs, which is expected to be recognized over a weighted-average period of 2.5 years. The total fair value of RSUs vested during the three months ended March 31, 2026, was approximately $4.0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March 31, 2026, 1,859,861 shares of common stock remain available for issuance under the ESPP, which includes the 211,837 shares sold to employees during the three months ended March 31, 2026 as well as an annual increase of 714,190 shares authorized on January 1,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8" w:name="page19"/>
    <w:bookmarkEnd w:id="18"/>
    <w:p>
      <w:pPr>
        <w:ind w:right="60" w:firstLine="509"/>
        <w:spacing w:after="0" w:line="253" w:lineRule="auto"/>
        <w:rPr>
          <w:sz w:val="20"/>
          <w:szCs w:val="20"/>
          <w:color w:val="auto"/>
        </w:rPr>
      </w:pPr>
      <w:r>
        <w:rPr>
          <w:rFonts w:ascii="Arial" w:cs="Arial" w:eastAsia="Arial" w:hAnsi="Arial"/>
          <w:sz w:val="18"/>
          <w:szCs w:val="18"/>
          <w:color w:val="auto"/>
        </w:rPr>
        <w:t>The ESPP is considered a compensatory plan, and for the three months ended March 31, 2026 and 2025, the Company recorded related stock-based compensation of $0.2 million and $0.3 million, respectively. The weighted-average assumptions used to estimate the fair value of ESPP awards using the Black-Scholes option valuation model were as follows:</w:t>
      </w:r>
    </w:p>
    <w:p>
      <w:pPr>
        <w:spacing w:after="0" w:line="142"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March 31,</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57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0.49</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61.01%</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86.93%</w:t>
            </w: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3.60%</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jc w:val="both"/>
        <w:ind w:right="380" w:firstLine="509"/>
        <w:spacing w:after="0" w:line="261" w:lineRule="auto"/>
        <w:rPr>
          <w:sz w:val="20"/>
          <w:szCs w:val="20"/>
          <w:color w:val="auto"/>
        </w:rPr>
      </w:pPr>
      <w:r>
        <w:rPr>
          <w:rFonts w:ascii="Arial" w:cs="Arial" w:eastAsia="Arial" w:hAnsi="Arial"/>
          <w:sz w:val="18"/>
          <w:szCs w:val="18"/>
          <w:color w:val="auto"/>
        </w:rPr>
        <w:t>The estimated weighted-average fair value of ESPP awards for the three months ended March 31, 2026 and 2025, was $4.85 and $2.81, respectively. As of March 31, 2026, the total unrecognized compensation expense related to the ESPP was $0.4 million, which is expected to be recognized over a weighted-average period of approximately 0.3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8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During 2020, the Company established a 401(k) savings plan. The Company’s contributions to the plan are discretionary. During the three months ended March 31, 2026 and 2025, the Company incurred $1.6 million and $1.8 million, respectively, of expense related to estimated employer contribution liabilities, which was based on a 75% match of employees’ contributions during the periods. During the three months ended March 31, 2026 and 2025, the Board of Directors approved employer matching contributions settled by contributing 132,035 and 290,165, respectively, shares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3"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A summary of the Company’s stock option activity and related information during the three months ended March 31, 2026 were as follows: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03"/>
        </w:trPr>
        <w:tc>
          <w:tcPr>
            <w:tcW w:w="4780" w:type="dxa"/>
            <w:vAlign w:val="bottom"/>
          </w:tcPr>
          <w:p>
            <w:pPr>
              <w:spacing w:after="0"/>
              <w:rPr>
                <w:sz w:val="17"/>
                <w:szCs w:val="17"/>
                <w:color w:val="auto"/>
              </w:rPr>
            </w:pP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21"/>
        </w:trPr>
        <w:tc>
          <w:tcPr>
            <w:tcW w:w="47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Price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Term</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rPr>
              <w:t>thousands)</w:t>
            </w: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1, 2026</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9,443,623</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8.32</w:t>
            </w:r>
          </w:p>
        </w:tc>
        <w:tc>
          <w:tcPr>
            <w:tcW w:w="14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6.45</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80,509</w:t>
            </w: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343,782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15.69</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(63,156)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cancelled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(110,365)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5.44</w:t>
            </w: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March 31, 2026</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9,613,884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8.61</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6.35</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34,230</w:t>
            </w:r>
          </w:p>
        </w:tc>
      </w:tr>
      <w:tr>
        <w:trPr>
          <w:trHeight w:val="20"/>
        </w:trPr>
        <w:tc>
          <w:tcPr>
            <w:tcW w:w="47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color w:val="auto"/>
              </w:rPr>
              <w:t>Options exercisable as of March 31, 2026</w:t>
            </w: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4,741,848</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10.54</w:t>
            </w:r>
          </w:p>
        </w:tc>
        <w:tc>
          <w:tcPr>
            <w:tcW w:w="12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3.70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10,976</w:t>
            </w: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 and expected to vest as of March 31, 2026</w:t>
            </w: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9,613,884</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8.61</w:t>
            </w: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6.35</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34,230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-264795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-264795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-264795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for the three months ended March 31, 2026 and 2025 was $12.09 and $4.23, respectively. As of March 31, 2026, the Company had $20.1 million of unrecognized stock-based compensation expense related to stock options, which is expected to be recognized over a weighted-average period of 2.9 years.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9" w:name="page20"/>
    <w:bookmarkEnd w:id="19"/>
    <w:p>
      <w:pPr>
        <w:ind w:right="260" w:firstLine="509"/>
        <w:spacing w:after="0" w:line="247"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at March 31, 2026. The total intrinsic value of stock options exercised for the three months ended March 31, 2026 was approximately $0.4 million.</w:t>
      </w:r>
    </w:p>
    <w:p>
      <w:pPr>
        <w:spacing w:after="0" w:line="14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were as follows:</w:t>
      </w:r>
    </w:p>
    <w:p>
      <w:pPr>
        <w:spacing w:after="0" w:line="113"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March 31,</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7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56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6.08</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91.73%</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83.38%</w:t>
            </w:r>
          </w:p>
        </w:tc>
      </w:tr>
      <w:tr>
        <w:trPr>
          <w:trHeight w:val="203"/>
        </w:trPr>
        <w:tc>
          <w:tcPr>
            <w:tcW w:w="56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4.16%</w:t>
            </w:r>
          </w:p>
        </w:tc>
      </w:tr>
      <w:tr>
        <w:trPr>
          <w:trHeight w:val="203"/>
        </w:trPr>
        <w:tc>
          <w:tcPr>
            <w:tcW w:w="568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3"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Stock-based compensation expense recognized for all equity awards has been reported in the condensed statements of operations and comprehensive loss as follows (in thousands):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17"/>
                <w:szCs w:val="17"/>
                <w:color w:val="auto"/>
              </w:rPr>
            </w:pPr>
          </w:p>
        </w:tc>
      </w:tr>
      <w:tr>
        <w:trPr>
          <w:trHeight w:val="221"/>
        </w:trPr>
        <w:tc>
          <w:tcPr>
            <w:tcW w:w="4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March 31,</w:t>
            </w:r>
          </w:p>
        </w:tc>
        <w:tc>
          <w:tcPr>
            <w:tcW w:w="660" w:type="dxa"/>
            <w:vAlign w:val="bottom"/>
            <w:tcBorders>
              <w:bottom w:val="single" w:sz="8" w:color="auto"/>
            </w:tcBorders>
          </w:tcPr>
          <w:p>
            <w:pPr>
              <w:spacing w:after="0"/>
              <w:rPr>
                <w:sz w:val="19"/>
                <w:szCs w:val="19"/>
                <w:color w:val="auto"/>
              </w:rPr>
            </w:pPr>
          </w:p>
        </w:tc>
      </w:tr>
      <w:tr>
        <w:trPr>
          <w:trHeight w:val="196"/>
        </w:trPr>
        <w:tc>
          <w:tcPr>
            <w:tcW w:w="4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254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799</w:t>
            </w:r>
          </w:p>
        </w:tc>
        <w:tc>
          <w:tcPr>
            <w:tcW w:w="138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1,330</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4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4,735</w:t>
            </w: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4,210</w:t>
            </w:r>
          </w:p>
        </w:tc>
      </w:tr>
      <w:tr>
        <w:trPr>
          <w:trHeight w:val="21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5,534</w:t>
            </w:r>
          </w:p>
        </w:tc>
        <w:tc>
          <w:tcPr>
            <w:tcW w:w="138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5,540</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1454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1454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Recognition</w:t>
      </w:r>
    </w:p>
    <w:p>
      <w:pPr>
        <w:spacing w:after="0" w:line="185"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condensed balance sheets. During the three months ended March 31, 2026 and 2025, the Company recognized $58.3 million and $28.5 million, respectively, of net product revenues related to sales of VOQUEZNA, VOQUEZNA DUAL PAK and VOQUEZNA TRIPLE PAK.</w:t>
      </w:r>
    </w:p>
    <w:p>
      <w:pPr>
        <w:spacing w:after="0" w:line="13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following table provides a summary of the Company's revenue allowances and related accruals for the three months ended March 31, 2026, which have been deducting in arriving at product revenues, net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Customer Credits,</w:t>
            </w:r>
          </w:p>
        </w:tc>
        <w:tc>
          <w:tcPr>
            <w:tcW w:w="17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Rebates, Returns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Discounts and</w:t>
            </w:r>
          </w:p>
        </w:tc>
        <w:tc>
          <w:tcPr>
            <w:tcW w:w="120" w:type="dxa"/>
            <w:vAlign w:val="bottom"/>
          </w:tcPr>
          <w:p>
            <w:pPr>
              <w:spacing w:after="0"/>
              <w:rPr>
                <w:sz w:val="17"/>
                <w:szCs w:val="17"/>
                <w:color w:val="auto"/>
              </w:rPr>
            </w:pPr>
          </w:p>
        </w:tc>
        <w:tc>
          <w:tcPr>
            <w:tcW w:w="16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and Co-Pay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Allowances</w:t>
            </w: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Assistance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(contra accounts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receivable)</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(accrued 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 2026</w:t>
            </w:r>
          </w:p>
        </w:tc>
        <w:tc>
          <w:tcPr>
            <w:tcW w:w="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10,646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65,462</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76,108</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92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15,966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55,616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71,582</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Utilizations</w:t>
            </w: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(20,240)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(53,590)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(73,830)</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9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March 31, 2026</w:t>
            </w:r>
          </w:p>
        </w:tc>
        <w:tc>
          <w:tcPr>
            <w:tcW w:w="4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6,372</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67,488</w:t>
            </w: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73,860</w:t>
            </w:r>
          </w:p>
        </w:tc>
        <w:tc>
          <w:tcPr>
            <w:tcW w:w="80" w:type="dxa"/>
            <w:vAlign w:val="bottom"/>
            <w:tcBorders>
              <w:top w:val="single" w:sz="8" w:color="CFF0FC"/>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F-18</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-1070610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-1070610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-1070610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9. Segment Information</w:t>
      </w:r>
    </w:p>
    <w:p>
      <w:pPr>
        <w:spacing w:after="0" w:line="1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chief operating decision maker, or CODM, the Chief Executive Officer, manages the Company’s business activities as a single reportable segment. The segment derives its current revenues from the sale of VOQUEZNA products. Accordingly, the CODM uses net income (loss) to measure segment profit or loss, allocate resources and assess performance. Further, the CODM reviews and utilizes functional expenses (research and development, general and administrative, sales and marketing and stock-based compensation) to manage the Company’s operations. Other segment items included in net loss are interest income, interest expense and other expense, which are reflected in the condensed statements of operations and comprehensive loss. The measure of segment assets is reported on the condensed balance sheets as total assets.</w:t>
      </w:r>
    </w:p>
    <w:p>
      <w:pPr>
        <w:spacing w:after="0" w:line="144"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three months ended March 31, 2026 and 2025 (in thousands):</w:t>
      </w:r>
    </w:p>
    <w:p>
      <w:pPr>
        <w:spacing w:after="0" w:line="10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3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7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17"/>
                <w:szCs w:val="17"/>
                <w:color w:val="auto"/>
              </w:rPr>
            </w:pPr>
          </w:p>
        </w:tc>
      </w:tr>
      <w:tr>
        <w:trPr>
          <w:trHeight w:val="196"/>
        </w:trPr>
        <w:tc>
          <w:tcPr>
            <w:tcW w:w="3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160" w:type="dxa"/>
            <w:vAlign w:val="bottom"/>
            <w:gridSpan w:val="2"/>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58,301</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28,519</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11,996</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3,724</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6,972</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7,854</w:t>
            </w: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7,033</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8,807</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42,243</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81,457</w:t>
            </w: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5,534</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5,540</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(1,736)</w:t>
            </w:r>
          </w:p>
        </w:tc>
        <w:tc>
          <w:tcPr>
            <w:tcW w:w="74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(2,640)</w:t>
            </w: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15,797</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18,071</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0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831</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r>
      <w:tr>
        <w:trPr>
          <w:trHeight w:val="216"/>
        </w:trPr>
        <w:tc>
          <w:tcPr>
            <w:tcW w:w="3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net loss</w:t>
            </w:r>
          </w:p>
        </w:tc>
        <w:tc>
          <w:tcPr>
            <w:tcW w:w="2160" w:type="dxa"/>
            <w:vAlign w:val="bottom"/>
            <w:gridSpan w:val="2"/>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(30,369)</w:t>
            </w:r>
          </w:p>
        </w:tc>
        <w:tc>
          <w:tcPr>
            <w:tcW w:w="740" w:type="dxa"/>
            <w:vAlign w:val="bottom"/>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(94,316)</w:t>
            </w: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171"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 May 2025, the Company implemented a cost reduction and organizational restructuring plan to reduce cash burn and focus resources on commercial execution. In connection with the restructuring, the Company's workforce was reduced by 26 employees, or approximately 6%, including certain leadership changes all designed to right-size the organization. In 2025, the Company incurred restructuring charges of $9.2 million consisting of one-time termination benefits to affected employees for severance, non-cash stock-based compensation costs, healthcare benefits and outplacement assistance. The costs were included in research and development and selling, general, and administrative expenses on the Company’s condensed consolidated statement of operations and comprehensive loss.</w:t>
      </w:r>
    </w:p>
    <w:p>
      <w:pPr>
        <w:spacing w:after="0" w:line="138"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The following table summarizes activity related to the restructuring accrual during the three months ended March 31, 2026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4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tcPr>
          <w:p>
            <w:pPr>
              <w:spacing w:after="0"/>
              <w:rPr>
                <w:sz w:val="19"/>
                <w:szCs w:val="19"/>
                <w:color w:val="auto"/>
              </w:rPr>
            </w:pPr>
          </w:p>
        </w:tc>
      </w:tr>
      <w:tr>
        <w:trPr>
          <w:trHeight w:val="196"/>
        </w:trPr>
        <w:tc>
          <w:tcPr>
            <w:tcW w:w="1420" w:type="dxa"/>
            <w:vAlign w:val="bottom"/>
          </w:tcPr>
          <w:p>
            <w:pPr>
              <w:spacing w:after="0"/>
              <w:rPr>
                <w:sz w:val="17"/>
                <w:szCs w:val="17"/>
                <w:color w:val="auto"/>
              </w:rPr>
            </w:pPr>
          </w:p>
        </w:tc>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 2026</w:t>
            </w:r>
          </w:p>
        </w:tc>
        <w:tc>
          <w:tcPr>
            <w:tcW w:w="3200" w:type="dxa"/>
            <w:vAlign w:val="bottom"/>
            <w:gridSpan w:val="2"/>
            <w:shd w:val="clear" w:color="auto" w:fill="CFF0FC"/>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Restructuring expenses incurred</w:t>
            </w:r>
          </w:p>
        </w:tc>
        <w:tc>
          <w:tcPr>
            <w:tcW w:w="2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paid</w:t>
            </w:r>
          </w:p>
        </w:tc>
        <w:tc>
          <w:tcPr>
            <w:tcW w:w="26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(308)</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Non-cash expenses</w:t>
            </w:r>
          </w:p>
        </w:tc>
        <w:tc>
          <w:tcPr>
            <w:tcW w:w="26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6"/>
        </w:trPr>
        <w:tc>
          <w:tcPr>
            <w:tcW w:w="1420" w:type="dxa"/>
            <w:vAlign w:val="bottom"/>
          </w:tcPr>
          <w:p>
            <w:pPr>
              <w:spacing w:after="0"/>
              <w:rPr>
                <w:sz w:val="20"/>
                <w:szCs w:val="20"/>
                <w:color w:val="auto"/>
              </w:rPr>
            </w:pPr>
          </w:p>
        </w:tc>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March 31, 2026</w:t>
            </w:r>
          </w:p>
        </w:tc>
        <w:tc>
          <w:tcPr>
            <w:tcW w:w="3200" w:type="dxa"/>
            <w:vAlign w:val="bottom"/>
            <w:gridSpan w:val="2"/>
            <w:shd w:val="clear" w:color="auto" w:fill="CFF0FC"/>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20"/>
                <w:szCs w:val="20"/>
                <w:color w:val="auto"/>
              </w:rPr>
            </w:pPr>
          </w:p>
        </w:tc>
        <w:tc>
          <w:tcPr>
            <w:tcW w:w="1400" w:type="dxa"/>
            <w:vAlign w:val="bottom"/>
          </w:tcPr>
          <w:p>
            <w:pPr>
              <w:spacing w:after="0"/>
              <w:rPr>
                <w:sz w:val="20"/>
                <w:szCs w:val="20"/>
                <w:color w:val="auto"/>
              </w:rPr>
            </w:pPr>
          </w:p>
        </w:tc>
      </w:tr>
      <w:tr>
        <w:trPr>
          <w:trHeight w:val="629"/>
        </w:trPr>
        <w:tc>
          <w:tcPr>
            <w:tcW w:w="1420" w:type="dxa"/>
            <w:vAlign w:val="bottom"/>
          </w:tcPr>
          <w:p>
            <w:pPr>
              <w:spacing w:after="0"/>
              <w:rPr>
                <w:sz w:val="24"/>
                <w:szCs w:val="24"/>
                <w:color w:val="auto"/>
              </w:rPr>
            </w:pPr>
          </w:p>
        </w:tc>
        <w:tc>
          <w:tcPr>
            <w:tcW w:w="3300" w:type="dxa"/>
            <w:vAlign w:val="bottom"/>
            <w:tcBorders>
              <w:top w:val="single" w:sz="8" w:color="CFF0FC"/>
            </w:tcBorders>
          </w:tcPr>
          <w:p>
            <w:pPr>
              <w:spacing w:after="0"/>
              <w:rPr>
                <w:sz w:val="24"/>
                <w:szCs w:val="24"/>
                <w:color w:val="auto"/>
              </w:rPr>
            </w:pPr>
          </w:p>
        </w:tc>
        <w:tc>
          <w:tcPr>
            <w:tcW w:w="268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F-19</w:t>
            </w:r>
          </w:p>
        </w:tc>
        <w:tc>
          <w:tcPr>
            <w:tcW w:w="5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unaudited interim condensed financial statements and notes thereto included in this Quarterly Report on Form 10-Q and with our audited financial statements and notes thereto for the year ended December 31, 2025 and the related Management’s Discussion and Analysis of Financial Condition and Results of Operations, both of which are contained in our Annual Report on Form 10-K for the year ended December 31, 2025, or the 2025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commercialization plans and costs, research and development plans and costs, pricing and reimbursement, the potential to develop future product candidates, the timing and likelihood of success of the plans and objectives of management for current and future operations, and future results of planned commercialization activities, product development and other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of our Annual Report on Form 10-K and our Quarterly Reports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We are a commercial-stage biopharmaceutical company focused on commercializing and developing novel treatments for gastrointestinal, or GI, diseases. Our approved products, VOQUEZNA®, VOQUEZNA® DUAL PAK® and VOQUEZNA® TRIPLE PAK®, contain vonoprazan, an oral small molecule potassium-competitive acid blocker, or PCAB. PCABs are a novel class of molecules that block acid secretion in the stomach. VOQUEZNA is the only PCAB currently approved for marketing and sale in the United States.</w:t>
      </w:r>
    </w:p>
    <w:p>
      <w:pPr>
        <w:spacing w:after="0" w:line="13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We began U.S. commercialization of VOQUEZNA for the treatment of erosive gastroesophageal reflux disease, or Erosive GERD, and Helicobacter pylori, 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VOQUEZNA DUAL PAK and VOQUEZNA TRIPLE PAK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November 2023. The U.S. Food and Drug Administration, or FDA, approved VOQUEZNA for the relief of heartburn associated with Non-Erosive GERD, the largest category of GERD, in July 2024.</w:t>
      </w:r>
    </w:p>
    <w:p>
      <w:pPr>
        <w:spacing w:after="0" w:line="14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Vonoprazan was originally developed by Takeda Pharmaceutical Company Limited, or Takeda, and is marketed in multiple countries outside the United States. We licensed U.S., European and Canadian rights to vonoprazan from Takeda in 2019. We are independently commercializing VOQUEZNA, VOQUEZNA DUAL PAK and VOQUEZNA TRIPLE PAK in the United States.</w:t>
      </w:r>
    </w:p>
    <w:p>
      <w:pPr>
        <w:spacing w:after="0" w:line="12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During the three months ended March 31, 2026, we generated increased revenues from sales of our VOQUEZNA products compared to same period in the prior year, reflecting continued execution of our U.S. commercial strategy. The majority of our revenue was derived from sales of VOQUEZNA. During this period, we also experienced growth in prescription volume and prescriber adoption, with most prescriptions written for GERD indications. As of April 17, 2026, approximately 1.35 million prescriptions for VOQUEZNA, VOQUEZNA DUAL PAK and VOQUEZNA TRIPLE PAK have been filled since launch. We continue to have broad commercial coverage for VOQUEZNA, with access for over 120 million, or over 80%, of U.S. commercial lives. Our commercial efforts are supported by a targeted sales force and continued focus on prescriber engagement and payer access.</w:t>
      </w:r>
    </w:p>
    <w:p>
      <w:pPr>
        <w:spacing w:after="0" w:line="140"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 May 2021, the FDA granted qualified infectious disease product, or QIDP, designation to VOQUEZNA DUAL PAK and VOQUEZNA TRIPLE PAK, resulting in an extension of the five-year new chemical entity, or NCE, exclusivity by an additional five years.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2" w:name="page23"/>
    <w:bookmarkEnd w:id="22"/>
    <w:p>
      <w:pPr>
        <w:ind w:right="40"/>
        <w:spacing w:after="0" w:line="247" w:lineRule="auto"/>
        <w:rPr>
          <w:sz w:val="20"/>
          <w:szCs w:val="20"/>
          <w:color w:val="auto"/>
        </w:rPr>
      </w:pPr>
      <w:r>
        <w:rPr>
          <w:rFonts w:ascii="Arial" w:cs="Arial" w:eastAsia="Arial" w:hAnsi="Arial"/>
          <w:sz w:val="18"/>
          <w:szCs w:val="18"/>
          <w:color w:val="auto"/>
        </w:rPr>
        <w:t>In December 2024, we submitted a citizen petition requesting that the FDA update the Orange Book listing for VOQUEZNA to reflect the same ten-year period of NCE exclusivity applicable to VOQUEZNA DUAL PAK and VOQUEZNA TRIPLE PAK. In June 2025, the FDA granted the petition and updated the Orange Book listing for VOQUEZNA to reflect the ten-year period of NCE exclusivity for vonoprazan. As a result, all three VOQUEZNA products now have NCE exclusivity extending through May 3, 2032.</w:t>
      </w:r>
    </w:p>
    <w:p>
      <w:pPr>
        <w:spacing w:after="0" w:line="14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In the fourth quarter of 2025, we initiated a Phase 2 clinical trial evaluating vonoprazan in the treatment of adults with eosinophilic esophagitis, or EoE. While our current focus is on continued U.S. commercialization of VOQUEZNA products for GERD and </w:t>
      </w:r>
      <w:r>
        <w:rPr>
          <w:rFonts w:ascii="Arial" w:cs="Arial" w:eastAsia="Arial" w:hAnsi="Arial"/>
          <w:sz w:val="18"/>
          <w:szCs w:val="18"/>
          <w:i w:val="1"/>
          <w:iCs w:val="1"/>
          <w:color w:val="auto"/>
        </w:rPr>
        <w:t>H. pylori</w:t>
      </w:r>
      <w:r>
        <w:rPr>
          <w:rFonts w:ascii="Arial" w:cs="Arial" w:eastAsia="Arial" w:hAnsi="Arial"/>
          <w:sz w:val="18"/>
          <w:szCs w:val="18"/>
          <w:color w:val="auto"/>
        </w:rPr>
        <w:t>, we are also selectively pursuing life-cycle management opportunities for vonoprazan. We may also explore the potential for vonoprazan in Europe and Canada, as well as opportunities to in-license or acquire additional clinical or commercial-stage product candidates for GI diseases.</w:t>
      </w:r>
    </w:p>
    <w:p>
      <w:pPr>
        <w:spacing w:after="0" w:line="133"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commenced our operations in 2018 and have devoted substantially all of our resources to date to organizing and staffing our company, business planning, raising capital, in-licensing vonoprazan, meeting with regulatory authorities, managing our clinical trials of vonoprazan, preparing for commercialization of our products containing vonoprazan, commercially launching our approved products in the U.S.,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March 31, 2026, we sold 41,612,032 shares of common stock and 3,859,000 pre-funded warrants, generating net proceeds of approximately $665.3 million, after deducting underwriting discounts, commissions and offering costs.</w:t>
      </w:r>
    </w:p>
    <w:p>
      <w:pPr>
        <w:spacing w:after="0" w:line="14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As of March 31, 2026, we had cash and cash equivalents of $180.9 million. Based on our current operating plan, we believe that our existing cash and cash equivalents together with our anticipated product revenues, are sufficient to fund operations for at least the next twelve months and will be sufficient to enable us to reach operating profitability beginning in the third quarter of 2026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excluding stock-based compensation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VOQUEZNA, develop vonoprazan for additional indications or formulations or develop or any future product candidates.</w:t>
      </w:r>
    </w:p>
    <w:p>
      <w:pPr>
        <w:spacing w:after="0" w:line="152"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Since inception, we have incurred significant operating losses. Our net losses were $30.4 million and $ 94.3 million for the three months ended March 31, 2026 and 2025, respectively. As of March 31, 2026, we had an accumulated deficit of $1.5 billion. Despite our plans and expectations, we could continue to incur operating losses for the foreseeable future. If we do not achieve our goals, it could be several years, if ever, before our current products or potential future product candidates, if successfully developed and approved, generate significant revenues to offset these operating losses. As a result, we are uncertain if we will achieve profitability on our current expected timeline, if at all, and, if so, whether we will be able to sustain it. The net losses we incur may fluctuate significantly from quarter to quarter and year to year.</w:t>
      </w:r>
    </w:p>
    <w:p>
      <w:pPr>
        <w:spacing w:after="0" w:line="14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While we have generated revenue to date, until such time as we can generate significant revenue from sales of our approved products containing vonoprazan, we also expect to finance our cash needs through equity offerings, additional debt financings or other capital sources, including potential collaborations, licenses and other similar arrangements. However, we may be unable to raise additional funds or enter into such other arrangements when and if needed on favorable terms or at all, and this risk could be exacerbated by the impact of ongoing conflicts throughout the world and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83" w:lineRule="exact"/>
        <w:rPr>
          <w:sz w:val="20"/>
          <w:szCs w:val="20"/>
          <w:color w:val="auto"/>
        </w:rPr>
      </w:pPr>
    </w:p>
    <w:p>
      <w:pPr>
        <w:ind w:right="380" w:firstLine="509"/>
        <w:spacing w:after="0" w:line="242" w:lineRule="auto"/>
        <w:rPr>
          <w:sz w:val="20"/>
          <w:szCs w:val="20"/>
          <w:color w:val="auto"/>
        </w:rPr>
      </w:pPr>
      <w:r>
        <w:rPr>
          <w:rFonts w:ascii="Arial" w:cs="Arial" w:eastAsia="Arial" w:hAnsi="Arial"/>
          <w:sz w:val="18"/>
          <w:szCs w:val="18"/>
          <w:color w:val="auto"/>
        </w:rPr>
        <w:t>In May 2025, we implemented a cost reduction and organizational restructuring plan to reduce cash burn and focus resources on commercial execution. In connection with the restructuring, our workforce was reduced by 26 employees, or approximately 6%, including certain leadership changes all designed to right-size the organization. In 2025, total restructuring charges incurred were $9.2 million consisting of one-time termination benefits to affected employees for severance, non-cash stock-based compensation costs, healthcare benefits and outplacement assistance. As of March 31, 2026, approximately $0.2 million of restructuring related accruals remain on the condensed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6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are responsible at our cost for the development, manufacture and commercialization of vonoprazan products. We are required to use commercially reasonable efforts to develop and commercialize the vonoprazan products in our licensed territory.</w:t>
      </w:r>
    </w:p>
    <w:p>
      <w:pPr>
        <w:spacing w:after="0" w:line="15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2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$ 250 million. We also agreed to make tiered royalty payments at percentages averaging in the low double digits on net sales of licensed products, subject to specified offsets and reductions. Royalties are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 We currently pay royalties to Takeda on sales of VOQUEZNA tablets, VOQUEZNA DUAL PAK and VOQUEZNA TRIPLE PAK in the U.S. During the three months ended March 31, 2026 and 2025, the Company recorded $5.8 million and $2.9 million, respectively, of royalty expense under the Takeda License, of which $5.8 million is included within accrued expenses as of March 31, 2026.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20" w:firstLine="509"/>
        <w:spacing w:after="0" w:line="301" w:lineRule="auto"/>
        <w:rPr>
          <w:sz w:val="20"/>
          <w:szCs w:val="20"/>
          <w:color w:val="auto"/>
        </w:rPr>
      </w:pPr>
      <w:r>
        <w:rPr>
          <w:rFonts w:ascii="Arial" w:cs="Arial" w:eastAsia="Arial" w:hAnsi="Arial"/>
          <w:sz w:val="17"/>
          <w:szCs w:val="17"/>
          <w:color w:val="auto"/>
        </w:rPr>
        <w:t>We began to recognize revenue from product sales, net of rebates, chargebacks, discounts, and other adjustments, in November 2023 in conjunction with the commercial launch of VOQUEZNA, VOQUEZNA TRIPLE PAK, and VOQUEZNA DUAL PAK in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Cost of revenue includes the cost of producing and distributing inventories that are related to product sales. This also includes royalties payable to Takeda, pursuant to the Takeda License Agreement (Refer to Note 3 for further details). In addition, shipping and handling costs for product sales along with fulfillment costs are recorded as incurred. Cost of revenue also includes costs related to excess or obsolete inventory adjustment charges.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9"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 We do not track total research and development expenses by indication.</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900" w:right="20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Clinical development expenses: </w:t>
      </w:r>
      <w:r>
        <w:rPr>
          <w:rFonts w:ascii="Arial" w:cs="Arial" w:eastAsia="Arial" w:hAnsi="Arial"/>
          <w:sz w:val="18"/>
          <w:szCs w:val="18"/>
          <w:color w:val="auto"/>
        </w:rPr>
        <w:t>external research and development expenses incurred under agreements with clinical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regulatory costs, and consultants to conduct and support our clinical trials of vonoprazan;</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Personnel related expenses</w:t>
      </w:r>
      <w:r>
        <w:rPr>
          <w:rFonts w:ascii="Arial" w:cs="Arial" w:eastAsia="Arial" w:hAnsi="Arial"/>
          <w:sz w:val="18"/>
          <w:szCs w:val="18"/>
          <w:color w:val="auto"/>
        </w:rPr>
        <w:t>: salaries, payroll taxes, and employee benefits, and restructuring expenses in 2025;</w:t>
      </w:r>
    </w:p>
    <w:p>
      <w:pPr>
        <w:spacing w:after="0" w:line="18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Chemistry manufacturing and controls, or CMC, expenses: </w:t>
      </w:r>
      <w:r>
        <w:rPr>
          <w:rFonts w:ascii="Arial" w:cs="Arial" w:eastAsia="Arial" w:hAnsi="Arial"/>
          <w:sz w:val="18"/>
          <w:szCs w:val="18"/>
          <w:color w:val="auto"/>
        </w:rPr>
        <w:t>costs related to the manufacturing of vonoprazan for our clinical trials;</w:t>
      </w:r>
    </w:p>
    <w:p>
      <w:pPr>
        <w:spacing w:after="0" w:line="197"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Consulting, professional and other costs: </w:t>
      </w:r>
      <w:r>
        <w:rPr>
          <w:rFonts w:ascii="Arial" w:cs="Arial" w:eastAsia="Arial" w:hAnsi="Arial"/>
          <w:sz w:val="18"/>
          <w:szCs w:val="18"/>
          <w:color w:val="auto"/>
        </w:rPr>
        <w:t>external costs related to consulting and professional services and other research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w:t>
      </w:r>
    </w:p>
    <w:p>
      <w:pPr>
        <w:spacing w:after="0" w:line="11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stock-based compensation expense recognized for those individuals involved in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efforts including for any restructuring expenses in 2025.</w:t>
      </w:r>
    </w:p>
    <w:p>
      <w:pPr>
        <w:spacing w:after="0" w:line="114"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following table summarizes our research and development expenses for the three months ended March 31, 2026 and 2025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Three Months Ended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9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7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7"/>
                <w:szCs w:val="17"/>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and regulatory</w:t>
            </w:r>
          </w:p>
        </w:tc>
        <w:tc>
          <w:tcPr>
            <w:tcW w:w="1180" w:type="dxa"/>
            <w:vAlign w:val="bottom"/>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4,191</w:t>
            </w:r>
          </w:p>
        </w:tc>
        <w:tc>
          <w:tcPr>
            <w:tcW w:w="1080" w:type="dxa"/>
            <w:vAlign w:val="bottom"/>
            <w:gridSpan w:val="2"/>
            <w:shd w:val="clear" w:color="auto" w:fill="CFF0FC"/>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3,544</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Personnel related</w:t>
            </w:r>
          </w:p>
        </w:tc>
        <w:tc>
          <w:tcPr>
            <w:tcW w:w="1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2,543</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2,962</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Chemistry manufacturing and controls</w:t>
            </w:r>
          </w:p>
        </w:tc>
        <w:tc>
          <w:tcPr>
            <w:tcW w:w="1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Consulting, professional and other costs</w:t>
            </w:r>
          </w:p>
        </w:tc>
        <w:tc>
          <w:tcPr>
            <w:tcW w:w="1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100" w:type="dxa"/>
            <w:vAlign w:val="bottom"/>
          </w:tcPr>
          <w:p>
            <w:pPr>
              <w:spacing w:after="0"/>
              <w:rPr>
                <w:sz w:val="17"/>
                <w:szCs w:val="17"/>
                <w:color w:val="auto"/>
              </w:rPr>
            </w:pPr>
          </w:p>
        </w:tc>
      </w:tr>
      <w:tr>
        <w:trPr>
          <w:trHeight w:val="203"/>
        </w:trPr>
        <w:tc>
          <w:tcPr>
            <w:tcW w:w="69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799</w:t>
            </w:r>
          </w:p>
        </w:tc>
        <w:tc>
          <w:tcPr>
            <w:tcW w:w="3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ind w:left="1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180" w:type="dxa"/>
            <w:vAlign w:val="bottom"/>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7,771</w:t>
            </w:r>
          </w:p>
        </w:tc>
        <w:tc>
          <w:tcPr>
            <w:tcW w:w="108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9,184</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-162560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plan to invest in our research and development expenses for the foreseeable future as we continue the development of vonoprazan and potentially in the future also develop additional product candidates.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actual results and development costs can differ materially from expectations. In addition, we cannot forecast which product candidates, if any, may be subject to future collaborations, when such arrangements will be secured, if at all, and to what degree such arrangements would affect our development plans and capital requirements.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3"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Selling, general and administrative expenses consist of salaries and employee-related costs, including stock-based compensation, for personnel in commercial, executive, finance, accounting, legal, human resources and other administrative functions, restructuring expenses in 2025, legal fees relating to intellectual property and corporate matters, and professional fees for accounting and consulting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Interest Financing Agreement</w:t>
      </w:r>
    </w:p>
    <w:p>
      <w:pPr>
        <w:spacing w:after="0" w:line="10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Interest expense under the Revenue Interest Financing Agreement is based on the imputed effective interest rate derived from expected future payments and the carrying value of the obligation. We recalculate the effective interest rate each period based on the current carrying value and the revised estimated future payments. Changes in future payments from previous estimates are included in current and future interest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with Hercules</w:t>
      </w:r>
    </w:p>
    <w:p>
      <w:pPr>
        <w:spacing w:after="0" w:line="102"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Beginning on February 25, 2026, interest expense under our Loan and Security Agreement, or the Loan Agreement, with Hercules Capital, Inc., or Hercules, consists of (i) cash interest at a variable annual rate equal to the greater of (a) 9.85% and (b) the Prime Rate (as reported in the Wall Street Journal) plus 3.10%, and (ii) amortization of the Loan Agreement debt discount recorded in connection with the fair value of warrants issued to the lenders, the debt issuance costs incurred, and the obligation to make a final payment.</w:t>
      </w:r>
    </w:p>
    <w:p>
      <w:pPr>
        <w:spacing w:after="0" w:line="66"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From December 14, 2023 through February 25, 2026, interest expense under the Loan Agreement consisted of (i) cash interest at a variable annual rate equal to the greater of (a) 9.85% and (b) the Prime Rate (as reported in the Wall Street Journal) plus 1.35% and provided that the cash interest rate was to be capped at 10.35% and upon us achieving the certain milestones, the cash interest was to decrease by 0.35%, (ii) payment-in-kind interest was at a per annum rate of interest equal to 2.15%, and (iii) amortization of the Loan Agreement debt discount recorded in connection with the fair value of warrants issued to the lenders, the debt issuance costs incurred, and the obligation to make a final payment.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2026 and 2025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58,301</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28,519</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11,996</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46,305</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24,795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7,771</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54,011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94,474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(40,463)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61,782</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103,658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(41,876)</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(15,477)</w:t>
            </w:r>
          </w:p>
        </w:tc>
        <w:tc>
          <w:tcPr>
            <w:tcW w:w="360" w:type="dxa"/>
            <w:vAlign w:val="bottom"/>
          </w:tcPr>
          <w:p>
            <w:pPr>
              <w:spacing w:after="0"/>
              <w:rPr>
                <w:sz w:val="17"/>
                <w:szCs w:val="17"/>
                <w:color w:val="auto"/>
              </w:rPr>
            </w:pPr>
          </w:p>
        </w:tc>
        <w:tc>
          <w:tcPr>
            <w:tcW w:w="10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(78,863)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63,386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1,736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(15,797)</w:t>
            </w:r>
          </w:p>
        </w:tc>
        <w:tc>
          <w:tcPr>
            <w:tcW w:w="3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(18,071)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(831)</w:t>
            </w:r>
          </w:p>
        </w:tc>
        <w:tc>
          <w:tcPr>
            <w:tcW w:w="3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(14,892)</w:t>
            </w:r>
          </w:p>
        </w:tc>
        <w:tc>
          <w:tcPr>
            <w:tcW w:w="3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(15,453)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(30,369)</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(94,316)</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63,947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-959485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-959485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$58.3 million and $ 28.5 million for the three months ended March 31, 2026 and 2025,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sales of VOQUEZNA, VOQUEZNA TRIPLE PAK, and VOQUEZNA DUAL PAK which were launched in the fourth quarter of 2023. The increase of $29.8 million was due to continued execution of our commercial strategy.</w:t>
      </w:r>
    </w:p>
    <w:p>
      <w:pPr>
        <w:spacing w:after="0" w:line="128"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were $12.0 million and $ 3.7 million for the three months ended March 31, 2026 and 2025,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of $ 8.3 million was due to the increase in revenues and the corresponding increase in Takeda royalty payments, as well as increased fulfillment costs for the three months ended March 31, 2026.</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26" w:name="page27"/>
    <w:bookmarkEnd w:id="26"/>
    <w:p>
      <w:pPr>
        <w:ind w:right="160" w:firstLine="509"/>
        <w:spacing w:after="0" w:line="25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$7.8 million and $9.2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2026 and 2025, respectively. The decrease of $1.4 million consists of $1.0 million related to lower personnel-related expenses and $1.0 million of lower CMC costs offset by an increase of $0.6 million of clinical development and regulatory costs.</w:t>
      </w:r>
    </w:p>
    <w:p>
      <w:pPr>
        <w:spacing w:after="0" w:line="14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$54.0 million and $94.5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2026 and 2025, respectively. The decrease of $40.5 million was primarily related to a $36.9 million reduction in advertising and promotional expenses, $2.3 million of lower personnel-related expenses, and $1.3 million of lower consulting and professional fees.</w:t>
      </w:r>
    </w:p>
    <w:p>
      <w:pPr>
        <w:spacing w:after="0" w:line="133"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i w:val="1"/>
          <w:iCs w:val="1"/>
          <w:color w:val="auto"/>
        </w:rPr>
        <w:t xml:space="preserve">Other (Expense) Income. </w:t>
      </w:r>
      <w:r>
        <w:rPr>
          <w:rFonts w:ascii="Arial" w:cs="Arial" w:eastAsia="Arial" w:hAnsi="Arial"/>
          <w:sz w:val="18"/>
          <w:szCs w:val="18"/>
          <w:color w:val="auto"/>
        </w:rPr>
        <w:t>Other expense of $14.9 million for the three months ended March 31, 2026 consisted of $15.8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under the Loan Agreement and Revenue Interest Financing Agreement, $0.8 million partial loss on extinguishment of debt recognized under the Loan Agreement, partially offset by $1.7 million of interest income related to cash held in money market funds. Other expense of $15.5 million for the three months ended March 31, 2025 consisted of $18.1 million of interest expense under the Loan Agreement and Revenue Interest Financing Agreement, partially offset by $2.6 million of interest income related to cash held in money market funds.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We have incurred net losses and negative cash flows from operations since our inception and while we expect to continue to incur a net loss in the near term, we anticipate achieving operating profitability beginning in the third quarter of 2026, excluding stock-based compensation. As of March 31, 2026, we had cash and cash equivalents of $180.9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69"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On September 17, 2021, or the Closing Date, we entered into the Loan Agreement with Hercules, in its capacity as administrative agent and collateral agent and as a lender, or, in such capacity, the Agent or Hercules, and the other financial institutions that from time to time become parties to the Loan Agreement as lenders. The Loan Agreement initially provided for term loans in an aggregate principal amount of up to $200 million under multiple tranches. We entered into several amendments to the Loan Agreement since the initial advance and the current loan terms provided for in the latest amendment are described below.</w:t>
      </w:r>
    </w:p>
    <w:p>
      <w:pPr>
        <w:spacing w:after="0" w:line="14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On February 25, 2026, or the Fifth Amendment Closing Date, we entered into the Fifth Amendment to the Loan and Security Agreement, or the Fifth Loan Amendment, which, among other things, (i) provided for a new term loan advance of $ 175 million, or the Term Loan Advance, the proceeds of which, along with cash on our balance sheet, were used to repay in full the existing secured obligations outstanding under the Loan Agreement, including principal, capitalized payment-in-kind interest, cash interest, existing final fee payments, and any applicable prepayment fees, (ii) provided for an additional loan tranche of up to $ 25 million which shall be available to us in the lenders’ discretion, (iii) extended the maturity date from December 1, 2027 to February 1, 2029, or the Maturity Date, subject to further extension to December 1, 2030 upon the achievement of a specified revenue milestone and subject to a certain pro forma liquidity test, (iv) extended the interest only period from October 2026 to December 2027, thereafter, monthly payment of interest and principal repayments at 2.5% of aggregate original principal balance of the Term Loan Advance through the Maturity Date, with any remaining payments to be repaid in full on the Maturity Date, (v) cash interest rate set at floating rate based on the greater of (a) US WSJ Prime + 3.10% or (b) 9.85%, (vi) eliminated the payment-in-kind interest rate of 2.15% per annum, (vii) amended the prepayment charge, which is a percentage of the principal amount advanced under the Term Loans under the Fifth Loan Amendment, or each a Term Loan Advance and together, the Term Loan Advances, as follows: (a) if the Term Loan Advances are prepaid after the Fifth Amendment Closing Date but prior to the twelfth month anniversary of the Fifth Amendment Closing Date, 2.50%; (b) if the Term Loan Advances are prepaid on or after the twelfth month anniversary of the Fifth Amendment Closing Date but prior to the twenty-fourth month anniversary of the Fifth Amendment Closing Date,</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2.00%; (c) if the Term Loan Advances are prepaid on or after the twenty-fourth month anniversary of the Fifth Amendment Closing Date but prior to the thirty-sixth month anniversary of the Fifth Amendment Closing Date, 1.50%; (d) thereafter, 1.00%; provided that (x) any such prepayment charge shall be reduced by 50.0 percent if such prepayment is a result of a change in control and (y) upon any refinancing by Hercules such prepayment charge shall be waived in full; and (viii) provided for a new final payment fee which is as a percentage of the Term Loan Advance, calculated as follows: (a) if the Term Loan Advances are repaid prior to September 2027, 1.25%; (b) if the Term Loan Advances are repaid after September 1, 2027 but on or prior to February 1, 2029, 2.00%; (c) if the Term Loan Advances are repaid after February 1, 2029 but on or prior to January 1, 2030, 3.00%, and (d) if the Term Loan Advances are repaid after January 1, 2030, 3.50%. As of March 31, 2026, we recorded $3.5 million within other long-term liabilities for the new final payment fee based on the Term Loan Advance being repaid by the Maturity Date.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7" w:name="page28"/>
    <w:bookmarkEnd w:id="27"/>
    <w:p>
      <w:pPr>
        <w:ind w:right="40" w:firstLine="509"/>
        <w:spacing w:after="0"/>
        <w:rPr>
          <w:sz w:val="20"/>
          <w:szCs w:val="20"/>
          <w:color w:val="auto"/>
        </w:rPr>
      </w:pPr>
      <w:r>
        <w:rPr>
          <w:rFonts w:ascii="Arial" w:cs="Arial" w:eastAsia="Arial" w:hAnsi="Arial"/>
          <w:sz w:val="18"/>
          <w:szCs w:val="18"/>
          <w:color w:val="auto"/>
        </w:rPr>
        <w:t>We accounted for the Fifth Loan Amendment in accordance with ASC 470-50, Modification and Extinguishments, or ASC 470-50, to determine if the transaction was treated as a modification or an extinguishment of debt. We reviewed the debt terms and determined the change would be accounted for prospectively as a partial debt extinguishment in accordance with ASC 470-50. As a result, we expensed a portion of the remaining deferred debt issuance costs and fees of $0.8 million associated with the debt prior to the Fifth Loan Amendment, as a loss on partial debt extinguishment within other expense, net in the condensed statements of operations and comprehensive loss for the three months ended March 31, 2026. Prior to the Fifth Loan Amendment, there were approximately $6.9 million of deferred debt issuance costs remaining to be amortized. The partial extinguishment and modification resulted in a net reduction in deferred issuance fees of $0.5 million with a remaining balance of $6.4 million in debt issuance costs capitalized to be amortized over the three year life of the new debt.</w:t>
      </w:r>
    </w:p>
    <w:p>
      <w:pPr>
        <w:spacing w:after="0" w:line="11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As collateral for the obligations, we granted to Hercules a senior security interest in all of our right, title, and interest in, to and under substantially all of our property, inclusive of intellectual property.</w:t>
      </w:r>
    </w:p>
    <w:p>
      <w:pPr>
        <w:spacing w:after="0" w:line="113"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Fifth Loan Amendment include (i) a minimum cash covenant and (ii) a performance covenant as follows:</w:t>
      </w:r>
    </w:p>
    <w:p>
      <w:pPr>
        <w:spacing w:after="0" w:line="61" w:lineRule="exact"/>
        <w:rPr>
          <w:sz w:val="20"/>
          <w:szCs w:val="20"/>
          <w:color w:val="auto"/>
        </w:rPr>
      </w:pPr>
    </w:p>
    <w:p>
      <w:pPr>
        <w:ind w:left="1020" w:right="180" w:hanging="503"/>
        <w:spacing w:after="0" w:line="245" w:lineRule="auto"/>
        <w:tabs>
          <w:tab w:leader="none" w:pos="1020" w:val="left"/>
        </w:tabs>
        <w:numPr>
          <w:ilvl w:val="0"/>
          <w:numId w:val="6"/>
        </w:numPr>
        <w:rPr>
          <w:rFonts w:ascii="Calibri" w:cs="Calibri" w:eastAsia="Calibri" w:hAnsi="Calibri"/>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which will decrease to 15% of the outstanding principal amount upon us reporting and maintaining $75 million of trailing three months net product revenue.</w:t>
      </w:r>
    </w:p>
    <w:p>
      <w:pPr>
        <w:spacing w:after="0" w:line="68" w:lineRule="exact"/>
        <w:rPr>
          <w:rFonts w:ascii="Calibri" w:cs="Calibri" w:eastAsia="Calibri" w:hAnsi="Calibri"/>
          <w:sz w:val="18"/>
          <w:szCs w:val="18"/>
          <w:color w:val="auto"/>
        </w:rPr>
      </w:pPr>
    </w:p>
    <w:p>
      <w:pPr>
        <w:ind w:left="1020" w:hanging="503"/>
        <w:spacing w:after="0"/>
        <w:tabs>
          <w:tab w:leader="none" w:pos="1020" w:val="left"/>
        </w:tabs>
        <w:numPr>
          <w:ilvl w:val="0"/>
          <w:numId w:val="6"/>
        </w:numPr>
        <w:rPr>
          <w:rFonts w:ascii="Calibri" w:cs="Calibri" w:eastAsia="Calibri" w:hAnsi="Calibri"/>
          <w:sz w:val="18"/>
          <w:szCs w:val="18"/>
          <w:color w:val="auto"/>
        </w:rPr>
      </w:pPr>
      <w:r>
        <w:rPr>
          <w:rFonts w:ascii="Arial" w:cs="Arial" w:eastAsia="Arial" w:hAnsi="Arial"/>
          <w:sz w:val="18"/>
          <w:szCs w:val="18"/>
          <w:color w:val="auto"/>
        </w:rPr>
        <w:t>Performance covenant - In addition, we must satisfy any one of the following:</w:t>
      </w:r>
    </w:p>
    <w:p>
      <w:pPr>
        <w:spacing w:after="0" w:line="117" w:lineRule="exact"/>
        <w:rPr>
          <w:rFonts w:ascii="Calibri" w:cs="Calibri" w:eastAsia="Calibri" w:hAnsi="Calibri"/>
          <w:sz w:val="18"/>
          <w:szCs w:val="18"/>
          <w:color w:val="auto"/>
        </w:rPr>
      </w:pPr>
    </w:p>
    <w:p>
      <w:pPr>
        <w:ind w:left="1540" w:hanging="514"/>
        <w:spacing w:after="0"/>
        <w:tabs>
          <w:tab w:leader="none" w:pos="1540" w:val="left"/>
        </w:tabs>
        <w:numPr>
          <w:ilvl w:val="1"/>
          <w:numId w:val="6"/>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80" w:hanging="514"/>
        <w:spacing w:after="0" w:line="245" w:lineRule="auto"/>
        <w:tabs>
          <w:tab w:leader="none" w:pos="1540" w:val="left"/>
        </w:tabs>
        <w:numPr>
          <w:ilvl w:val="1"/>
          <w:numId w:val="6"/>
        </w:numPr>
        <w:rPr>
          <w:rFonts w:ascii="Calibri" w:cs="Calibri" w:eastAsia="Calibri" w:hAnsi="Calibri"/>
          <w:sz w:val="18"/>
          <w:szCs w:val="18"/>
          <w:color w:val="auto"/>
        </w:rPr>
      </w:pPr>
      <w:r>
        <w:rPr>
          <w:rFonts w:ascii="Arial" w:cs="Arial" w:eastAsia="Arial" w:hAnsi="Arial"/>
          <w:sz w:val="18"/>
          <w:szCs w:val="18"/>
          <w:color w:val="auto"/>
        </w:rPr>
        <w:t>Minimum cash balance of 50% of the outstanding principal amount of the term loans, which will decrease to 40% upon achieving $65 million of trailing three months net product revenue, and to 30% upon achieving $85 million of trailing three months net product revenue; or</w:t>
      </w:r>
    </w:p>
    <w:p>
      <w:pPr>
        <w:spacing w:after="0" w:line="68" w:lineRule="exact"/>
        <w:rPr>
          <w:rFonts w:ascii="Calibri" w:cs="Calibri" w:eastAsia="Calibri" w:hAnsi="Calibri"/>
          <w:sz w:val="18"/>
          <w:szCs w:val="18"/>
          <w:color w:val="auto"/>
        </w:rPr>
      </w:pPr>
    </w:p>
    <w:p>
      <w:pPr>
        <w:ind w:left="1540" w:right="300" w:hanging="514"/>
        <w:spacing w:after="0" w:line="256" w:lineRule="auto"/>
        <w:tabs>
          <w:tab w:leader="none" w:pos="1540" w:val="left"/>
        </w:tabs>
        <w:numPr>
          <w:ilvl w:val="1"/>
          <w:numId w:val="6"/>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equal to 75% of projected revenue in 2026 and 70% of projected revenue in 2027 and beyond, tested on a quarterly basis.</w:t>
      </w:r>
    </w:p>
    <w:p>
      <w:pPr>
        <w:spacing w:after="0" w:line="139" w:lineRule="exact"/>
        <w:rPr>
          <w:sz w:val="20"/>
          <w:szCs w:val="20"/>
          <w:color w:val="auto"/>
        </w:rPr>
      </w:pPr>
    </w:p>
    <w:p>
      <w:pPr>
        <w:ind w:right="96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us may be declared immediately due and payable by Hercules, as collateral agent.</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2026, we were in compliance with all applicable covenants under the Loan Agreement.</w:t>
      </w:r>
    </w:p>
    <w:p>
      <w:pPr>
        <w:spacing w:after="0" w:line="17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In connection with the entry into the initial Loan Agreement, we issued to Hercules a warrant, or the Warrant, to purchase a number of shares of our common stock equal to 2.5% of the aggregate amount of the Term Loan advances. On the Closing Date, the we issued a Warrant for 74,782 shares of common stock. The Warrant will be exercisable until September 17, 2028 (seven years from the date of issuance) at a per-share exercise price equal to $33.43, which was the closing price of our common stock on September 16, 2021. The Warrant issued with the initial tranche was not modified as part of the Fifth Loan Amendment. The exercise price and terms of the outstanding Warrant remain unchanged.</w:t>
      </w:r>
    </w:p>
    <w:p>
      <w:pPr>
        <w:spacing w:after="0" w:line="15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$3.5 million of final payment fees and $1.8 million facility fee incurred as part of the Fifth Loan Amendment, along with the $6.4 million of unamortized debt issuance costs as a result of the debt modification, have been recorded as debt discount and are being amortized to interest expense using the effective interest method over the remaining term of the Loan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entities managed or advised by NovaQuest Capital Management, or NQ, Sagard Holdings Manager LP, or Sagard, and Hercules, together with NQ and Sagard, or the Initial Investors, pursuant to which we had the right to receive up to $260 million in funding from the Initial Investors. Under the terms of the Revenue Interest Financing Agreement, we received $100 million at the initial closing and received an additional $ 160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vonoprazan for Erosive GERD, or Approval Additional Funding, in the fourth quarter of 2023 and provided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March 31, 2026, no additional funding is available under the Revenue Interest Financing Agreement.</w:t>
      </w:r>
    </w:p>
    <w:p>
      <w:pPr>
        <w:spacing w:after="0" w:line="158"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Under the Revenue Interest Financing Agreement, the Initial Investors and the Additional Investors,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we have the right to make a cap payment equal to 200% of the Investment Amount less any royalties already paid, at which time the agreement will terminate.</w:t>
      </w:r>
    </w:p>
    <w:p>
      <w:pPr>
        <w:spacing w:after="0" w:line="13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 As of March 31, 2026, the aggregate payments made to investors under the Revenue Interest Financing Agreement equaled $23.1 million.</w:t>
      </w:r>
    </w:p>
    <w:p>
      <w:pPr>
        <w:spacing w:after="0" w:line="133" w:lineRule="exact"/>
        <w:rPr>
          <w:sz w:val="20"/>
          <w:szCs w:val="20"/>
          <w:color w:val="auto"/>
        </w:rPr>
      </w:pPr>
    </w:p>
    <w:p>
      <w:pPr>
        <w:jc w:val="both"/>
        <w:ind w:right="660" w:firstLine="509"/>
        <w:spacing w:after="0" w:line="253" w:lineRule="auto"/>
        <w:rPr>
          <w:sz w:val="20"/>
          <w:szCs w:val="20"/>
          <w:color w:val="auto"/>
        </w:rPr>
      </w:pPr>
      <w:r>
        <w:rPr>
          <w:rFonts w:ascii="Arial" w:cs="Arial" w:eastAsia="Arial" w:hAnsi="Arial"/>
          <w:sz w:val="18"/>
          <w:szCs w:val="18"/>
          <w:color w:val="auto"/>
        </w:rPr>
        <w:t>Upon the occurrence of an event of default taking place between April 1, 2025 and April 1, 2028, or after April 1, 2028, we are obligated to pay 1.65 times Investment Amount and 2.0 times Investment Amount, respectively, less any amounts we previously paid pursuant to the agreement.</w:t>
      </w:r>
    </w:p>
    <w:p>
      <w:pPr>
        <w:spacing w:after="0" w:line="142"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Additionally, under the terms of Revenue Interest Financing Agreement, we are subject to a minimum cash covenant of at least (a) beginning on the date that the Hercules Loan Agreement is terminated and each day thereafter until September 30, 2026, $30 million, and</w:t>
      </w:r>
    </w:p>
    <w:p>
      <w:pPr>
        <w:ind w:right="40" w:firstLine="8"/>
        <w:spacing w:after="0" w:line="234"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on October 1, 2026 and on each day thereafter until September 30, 2029, a certain percentage of the minimum cash reference amount defined as the difference between the Investment Amount and the amount of all royalty payments received by the Investors as of each such date as follows: (i) 50% from October 1, 2026 to September 30, 2027 (ii) 75% from October 1, 2027 to September 30, 2028, and</w:t>
      </w:r>
    </w:p>
    <w:p>
      <w:pPr>
        <w:spacing w:after="0" w:line="2" w:lineRule="exact"/>
        <w:rPr>
          <w:rFonts w:ascii="Arial" w:cs="Arial" w:eastAsia="Arial" w:hAnsi="Arial"/>
          <w:sz w:val="18"/>
          <w:szCs w:val="18"/>
          <w:color w:val="auto"/>
        </w:rPr>
      </w:pPr>
    </w:p>
    <w:p>
      <w:pPr>
        <w:ind w:right="40" w:firstLine="8"/>
        <w:spacing w:after="0" w:line="250"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from October 1, 2028 to September 30, 2029. As of March 31, 2026, we are in compliance with all applicable covenants under the Revenue Interest Financing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At-the-Market-Offerings</w:t>
      </w:r>
    </w:p>
    <w:p>
      <w:pPr>
        <w:spacing w:after="0" w:line="107" w:lineRule="exact"/>
        <w:rPr>
          <w:sz w:val="20"/>
          <w:szCs w:val="20"/>
          <w:color w:val="auto"/>
        </w:rPr>
      </w:pPr>
    </w:p>
    <w:p>
      <w:pPr>
        <w:ind w:right="460" w:firstLine="509"/>
        <w:spacing w:after="0" w:line="226" w:lineRule="auto"/>
        <w:rPr>
          <w:sz w:val="20"/>
          <w:szCs w:val="20"/>
          <w:color w:val="auto"/>
        </w:rPr>
      </w:pPr>
      <w:r>
        <w:rPr>
          <w:rFonts w:ascii="Arial" w:cs="Arial" w:eastAsia="Arial" w:hAnsi="Arial"/>
          <w:sz w:val="18"/>
          <w:szCs w:val="18"/>
          <w:color w:val="auto"/>
        </w:rPr>
        <w:t>In November 2020,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we may, from time to time, sell shares of our common stock having an aggregate offering price of up to an amount registered under an effective registration statement through the Sales Agent.</w:t>
      </w:r>
    </w:p>
    <w:p>
      <w:pPr>
        <w:spacing w:after="0" w:line="14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No shares were sold during the three months ended March 31, 2026 and 2025. As of March 31, 2026, all of the available $150 million under the 2023 ATM Offering remains available.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169"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On January 9, 2026, we sold 6,875,000 shares of common stock at a price of $16.00 per share and pre-funded warrants to purchase 1,250,078 shares of common stock at a price of $ 15.999 per pre-funded warrant for total gross proceeds of $130.0 million, before deducting underwriting discounts, commissions and offering costs. The net purchase price after deducting the underwriting discounts and commissions and other offering expenses, was $15.01 per share or net proceeds of $122.0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3" w:lineRule="exact"/>
        <w:rPr>
          <w:sz w:val="20"/>
          <w:szCs w:val="20"/>
          <w:color w:val="auto"/>
        </w:rPr>
      </w:pPr>
    </w:p>
    <w:p>
      <w:pPr>
        <w:ind w:right="740" w:firstLine="509"/>
        <w:spacing w:after="0" w:line="271" w:lineRule="auto"/>
        <w:rPr>
          <w:sz w:val="20"/>
          <w:szCs w:val="20"/>
          <w:color w:val="auto"/>
        </w:rPr>
      </w:pPr>
      <w:r>
        <w:rPr>
          <w:rFonts w:ascii="Arial" w:cs="Arial" w:eastAsia="Arial" w:hAnsi="Arial"/>
          <w:sz w:val="18"/>
          <w:szCs w:val="18"/>
          <w:color w:val="auto"/>
        </w:rPr>
        <w:t>Based on our current operating plan, we believe that our existing cash and cash equivalents together with anticipated product revenues, are sufficient to fund operations for at least the next twelve months. However, our forecast of the period of time through</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9" w:name="page30"/>
    <w:bookmarkEnd w:id="29"/>
    <w:p>
      <w:pPr>
        <w:spacing w:after="0" w:line="244" w:lineRule="auto"/>
        <w:rPr>
          <w:sz w:val="20"/>
          <w:szCs w:val="20"/>
          <w:color w:val="auto"/>
        </w:rPr>
      </w:pPr>
      <w:r>
        <w:rPr>
          <w:rFonts w:ascii="Arial" w:cs="Arial" w:eastAsia="Arial" w:hAnsi="Arial"/>
          <w:sz w:val="18"/>
          <w:szCs w:val="18"/>
          <w:color w:val="auto"/>
        </w:rPr>
        <w:t>which our financial resources may be adequate to support our operations is a forward-looking statement that involves risks and uncertainties and actual results could vary materially. We have based this estimate on assumptions that may prove to be inaccurate, and we could deplete our capital resources sooner than we expect based on the amount and timing of product sales and operating expenses, among other factors. Additionally, the process of testing product candidates in clinical trials is costly, and the timing of progress and expenses in ongoing and future trials is uncertain.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900" w:right="160" w:hanging="383"/>
        <w:spacing w:after="0" w:line="252"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and maintain market acceptance, market share, coverage, reimbursement and revenues from sales of VOQUEZNA in its approved GERD indications, and patients’ willingness to pay out-of-pocket in the absence of coverage and/or adequate reimbursement from third-party payers;</w:t>
      </w:r>
    </w:p>
    <w:p>
      <w:pPr>
        <w:spacing w:after="0" w:line="130" w:lineRule="exact"/>
        <w:rPr>
          <w:rFonts w:ascii="Times New Roman" w:cs="Times New Roman" w:eastAsia="Times New Roman" w:hAnsi="Times New Roman"/>
          <w:sz w:val="18"/>
          <w:szCs w:val="18"/>
          <w:color w:val="auto"/>
        </w:rPr>
      </w:pPr>
    </w:p>
    <w:p>
      <w:pPr>
        <w:ind w:left="900" w:right="20" w:hanging="383"/>
        <w:spacing w:after="0" w:line="252"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sales and marketing activities in support of the continued commercialization of VOQUEZNA, VOQUEZNA DUAL PAK and VOQUEZNA TRIPLE PAK, or any future product candidates we may choose to pursue, if successfully developed and approved;</w:t>
      </w:r>
    </w:p>
    <w:p>
      <w:pPr>
        <w:spacing w:after="0" w:line="14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availability of manufacturing for vonoprazan as well as the costs of manufacturing for any potential product candidates we may pursue in the future;</w:t>
      </w:r>
    </w:p>
    <w:p>
      <w:pPr>
        <w:spacing w:after="0" w:line="113" w:lineRule="exact"/>
        <w:rPr>
          <w:rFonts w:ascii="Times New Roman" w:cs="Times New Roman" w:eastAsia="Times New Roman" w:hAnsi="Times New Roman"/>
          <w:sz w:val="18"/>
          <w:szCs w:val="18"/>
          <w:color w:val="auto"/>
        </w:rPr>
      </w:pPr>
    </w:p>
    <w:p>
      <w:pPr>
        <w:ind w:left="900" w:right="200" w:hanging="383"/>
        <w:spacing w:after="0" w:line="252"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30" w:lineRule="exact"/>
        <w:rPr>
          <w:rFonts w:ascii="Times New Roman" w:cs="Times New Roman" w:eastAsia="Times New Roman" w:hAnsi="Times New Roman"/>
          <w:sz w:val="18"/>
          <w:szCs w:val="18"/>
          <w:color w:val="auto"/>
        </w:rPr>
      </w:pPr>
    </w:p>
    <w:p>
      <w:pPr>
        <w:ind w:left="900" w:right="20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future vonoprazan applications or such applications for any future product candidates;</w:t>
      </w:r>
    </w:p>
    <w:p>
      <w:pPr>
        <w:spacing w:after="0" w:line="127" w:lineRule="exact"/>
        <w:rPr>
          <w:rFonts w:ascii="Times New Roman" w:cs="Times New Roman" w:eastAsia="Times New Roman" w:hAnsi="Times New Roman"/>
          <w:sz w:val="18"/>
          <w:szCs w:val="18"/>
          <w:color w:val="auto"/>
        </w:rPr>
      </w:pPr>
    </w:p>
    <w:p>
      <w:pPr>
        <w:ind w:left="900" w:right="68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 and the success of our enforcement efforts;</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profile and impact of competitive products;</w:t>
      </w:r>
    </w:p>
    <w:p>
      <w:pPr>
        <w:spacing w:after="0" w:line="183" w:lineRule="exact"/>
        <w:rPr>
          <w:rFonts w:ascii="Times New Roman" w:cs="Times New Roman" w:eastAsia="Times New Roman" w:hAnsi="Times New Roman"/>
          <w:sz w:val="18"/>
          <w:szCs w:val="18"/>
          <w:color w:val="auto"/>
        </w:rPr>
      </w:pPr>
    </w:p>
    <w:p>
      <w:pPr>
        <w:ind w:left="900" w:right="52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and consultants as our business grows and enhancing our operational systems;</w:t>
      </w:r>
    </w:p>
    <w:p>
      <w:pPr>
        <w:spacing w:after="0" w:line="12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3" w:lineRule="exact"/>
        <w:rPr>
          <w:rFonts w:ascii="Times New Roman" w:cs="Times New Roman" w:eastAsia="Times New Roman" w:hAnsi="Times New Roman"/>
          <w:sz w:val="18"/>
          <w:szCs w:val="18"/>
          <w:color w:val="auto"/>
        </w:rPr>
      </w:pPr>
    </w:p>
    <w:p>
      <w:pPr>
        <w:ind w:left="900" w:right="320" w:hanging="38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impact of our obligations under our Loan and Security Agreement with Hercules Capital, Inc., and our Revenue Interest Financing Agreement; and</w:t>
      </w:r>
    </w:p>
    <w:p>
      <w:pPr>
        <w:spacing w:after="0" w:line="113" w:lineRule="exact"/>
        <w:rPr>
          <w:rFonts w:ascii="Times New Roman" w:cs="Times New Roman" w:eastAsia="Times New Roman" w:hAnsi="Times New Roman"/>
          <w:sz w:val="18"/>
          <w:szCs w:val="18"/>
          <w:color w:val="auto"/>
        </w:rPr>
      </w:pPr>
    </w:p>
    <w:p>
      <w:pPr>
        <w:ind w:left="900" w:right="180" w:hanging="383"/>
        <w:spacing w:after="0" w:line="246"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building a portfolio of product candidates through the acquisition or in-license of additional product candidates or technologies, including the terms and timing of establishing and maintaining future collaborations, licenses and other similar arrangement and the costs associated with development of any products or technologies that we may in-license or acquire.</w:t>
      </w:r>
    </w:p>
    <w:p>
      <w:pPr>
        <w:spacing w:after="0" w:line="15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also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and if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30" w:name="page31"/>
    <w:bookmarkEnd w:id="30"/>
    <w:p>
      <w:pPr>
        <w:ind w:right="180" w:firstLine="509"/>
        <w:spacing w:after="0" w:line="244"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unaudited interim condensed financial statements were issued. There can be no assurance that we will be successful in acquiring additional funding, that our projections of future revenues or working capital needs will prove accurate, or that any additional funding would be sufficient to continue operations in future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(15,647)</w:t>
            </w:r>
          </w:p>
        </w:tc>
        <w:tc>
          <w:tcPr>
            <w:tcW w:w="5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(84,930)</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69,283</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66,640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66,640</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50,932</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(84,948)</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Net cash used in operating activities was approximately $15.6 million and $84.9 million for the three months ended March 31, 2026 and 2025, respectively. The net cash used in operating activities for the three months ended March 31, 2026 was due to approximately $17.1 million spent on ongoing research and development and selling, general and administrative activities and a $1.5 million net change in operating assets and liabilities. The net change in operating assets and liabilities is related to a $3.3 million decrease in accounts payable and accrued expenses (including interest, operating lease assets and liabilities), a $7.6 million increase in inventory, prepaid assets and other current assets, and a $2.8 million decrease in accounts receivable and other long-term assets. The net cash used in operating activities for the three months ended March 31, 2025 was due to approximately $76.0 million spent on ongoing research and development and selling, general and administrative activities and a $ 8.9 million net change in operating assets and liabilities. The net change in operating assets and liabilities primarily is related to a $6.8 million decrease in accounts payable and accrued expenses (including interest, operating lease assets and liabilities), and a $2.1 million net decrease in accounts receivable, inventory, and prepaid assets and other current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3"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Net cash used in investing activities for the three months ended March 31, 2026 and 2025, was related to payments for acquiring property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Net cash provided by financing activities for the three months ended March 31, 2026 related to $173.2 million of net proceeds of the issuance of long-term debt, $122.0 million of net proceeds from issuance of common stock and pre-funded warrants in connection with the underwritten public offering completed in January 2026, $0.6 million of proceeds from the issuance of common stock from exercise of stock options offset by $229.0 million repayment of long-term debt on our Hercules Loan Agreement and $0.1 million of payments for employee tax obligations related to vesting of PSUs and RSUs.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1"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There were no material changes outside the ordinary course of our business during the three months ended March 31, 2026 to the information regarding our contractual obligations that was disclosed in Management’s Discussion and Analysis of Financial Condition and Results of Operations contained in our 2025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5"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1" w:name="page32"/>
    <w:bookmarkEnd w:id="31"/>
    <w:p>
      <w:pPr>
        <w:ind w:right="20"/>
        <w:spacing w:after="0" w:line="247" w:lineRule="auto"/>
        <w:rPr>
          <w:sz w:val="20"/>
          <w:szCs w:val="20"/>
          <w:color w:val="auto"/>
        </w:rPr>
      </w:pPr>
      <w:r>
        <w:rPr>
          <w:rFonts w:ascii="Arial" w:cs="Arial" w:eastAsia="Arial" w:hAnsi="Arial"/>
          <w:sz w:val="18"/>
          <w:szCs w:val="18"/>
          <w:color w:val="auto"/>
        </w:rPr>
        <w:t>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2025 Form 10-K. There have not been any material changes to the critical accounting policies discussed therein during the three months ended March 31, 2026.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 Status</w:t>
      </w:r>
    </w:p>
    <w:p>
      <w:pPr>
        <w:spacing w:after="0" w:line="183"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We are a smaller reporting company as defined in Rule 12b-2 of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As of March 31, 2026,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2025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our first fiscal quarter ended March 31, 2026 that have materially affected, or are reasonably likely to materially affect, our internal control over financial reporting.</w:t>
      </w:r>
    </w:p>
    <w:p>
      <w:pPr>
        <w:spacing w:after="0" w:line="1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87" w:right="6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here have been no material changes to the risk factors disclosed in Part I, Item 1A, “Risk Factors” of our 2025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83"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During the three months ended March 31, 2026, none of our officers or directors adopted, modified or terminated any Rule 10b5-1 trading arrangements or non-Rule 10b5-1 trading arrangements.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20"/>
          </w:tcPr>
          <w:p>
            <w:pPr>
              <w:ind w:left="32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5"/>
        </w:trPr>
        <w:tc>
          <w:tcPr>
            <w:tcW w:w="1060" w:type="dxa"/>
            <w:vAlign w:val="bottom"/>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40" w:type="dxa"/>
            <w:vAlign w:val="bottom"/>
          </w:tcPr>
          <w:p>
            <w:pPr>
              <w:spacing w:after="0"/>
              <w:rPr>
                <w:sz w:val="13"/>
                <w:szCs w:val="13"/>
                <w:color w:val="auto"/>
              </w:rPr>
            </w:pPr>
          </w:p>
        </w:tc>
        <w:tc>
          <w:tcPr>
            <w:tcW w:w="3640" w:type="dxa"/>
            <w:vAlign w:val="bottom"/>
            <w:tcBorders>
              <w:bottom w:val="single" w:sz="8" w:color="0000FF"/>
            </w:tcBorders>
            <w:gridSpan w:val="12"/>
          </w:tcPr>
          <w:p>
            <w:pPr>
              <w:spacing w:after="0" w:line="155" w:lineRule="exact"/>
              <w:rPr>
                <w:rFonts w:ascii="Arial" w:cs="Arial" w:eastAsia="Arial" w:hAnsi="Arial"/>
                <w:sz w:val="16"/>
                <w:szCs w:val="16"/>
                <w:color w:val="0000FF"/>
              </w:rPr>
            </w:pPr>
            <w:hyperlink r:id="rId128">
              <w:r>
                <w:rPr>
                  <w:rFonts w:ascii="Arial" w:cs="Arial" w:eastAsia="Arial" w:hAnsi="Arial"/>
                  <w:sz w:val="16"/>
                  <w:szCs w:val="16"/>
                  <w:color w:val="0000FF"/>
                </w:rPr>
                <w:t>Amended and Restated Certificate of Incorporation</w:t>
              </w:r>
            </w:hyperlink>
          </w:p>
        </w:tc>
        <w:tc>
          <w:tcPr>
            <w:tcW w:w="21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29">
              <w:r>
                <w:rPr>
                  <w:rFonts w:ascii="Arial" w:cs="Arial" w:eastAsia="Arial" w:hAnsi="Arial"/>
                  <w:sz w:val="16"/>
                  <w:szCs w:val="16"/>
                  <w:color w:val="0000FF"/>
                </w:rPr>
                <w:t>Certificate of Amendment to Amended and Restated Certificate of Incorporation,</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129">
              <w:r>
                <w:rPr>
                  <w:rFonts w:ascii="Arial" w:cs="Arial" w:eastAsia="Arial" w:hAnsi="Arial"/>
                  <w:sz w:val="16"/>
                  <w:szCs w:val="16"/>
                  <w:color w:val="0000FF"/>
                </w:rPr>
                <w:t>as filed with the Secretary of the State of Delaware on May 26, 2023</w:t>
              </w:r>
            </w:hyperlink>
          </w:p>
        </w:tc>
        <w:tc>
          <w:tcPr>
            <w:tcW w:w="9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0">
              <w:r>
                <w:rPr>
                  <w:rFonts w:ascii="Arial" w:cs="Arial" w:eastAsia="Arial" w:hAnsi="Arial"/>
                  <w:sz w:val="16"/>
                  <w:szCs w:val="16"/>
                  <w:color w:val="0000FF"/>
                </w:rPr>
                <w:t>Amended and Restated Bylaws, effective as of December 13, 2023</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1">
              <w:r>
                <w:rPr>
                  <w:rFonts w:ascii="Arial" w:cs="Arial" w:eastAsia="Arial" w:hAnsi="Arial"/>
                  <w:sz w:val="16"/>
                  <w:szCs w:val="16"/>
                  <w:color w:val="0000FF"/>
                </w:rPr>
                <w:t>Form of Common Stock Certificate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2">
              <w:r>
                <w:rPr>
                  <w:rFonts w:ascii="Arial" w:cs="Arial" w:eastAsia="Arial" w:hAnsi="Arial"/>
                  <w:sz w:val="16"/>
                  <w:szCs w:val="16"/>
                  <w:color w:val="0000FF"/>
                </w:rPr>
                <w:t>Warrant to purchase stock issued to Silicon Valley Bank, dated May 14,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3">
              <w:r>
                <w:rPr>
                  <w:rFonts w:ascii="Arial" w:cs="Arial" w:eastAsia="Arial" w:hAnsi="Arial"/>
                  <w:sz w:val="16"/>
                  <w:szCs w:val="16"/>
                  <w:color w:val="0000FF"/>
                </w:rPr>
                <w:t>Warrant to purchase stock issued to WestRiver Innovation Lending Fund VIII,</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w w:val="99"/>
              </w:rPr>
            </w:pPr>
            <w:hyperlink r:id="rId133">
              <w:r>
                <w:rPr>
                  <w:rFonts w:ascii="Arial" w:cs="Arial" w:eastAsia="Arial" w:hAnsi="Arial"/>
                  <w:sz w:val="16"/>
                  <w:szCs w:val="16"/>
                  <w:color w:val="0000FF"/>
                  <w:w w:val="99"/>
                </w:rPr>
                <w:t>L.P., dated May 14,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3740" w:type="dxa"/>
            <w:vAlign w:val="bottom"/>
            <w:tcBorders>
              <w:top w:val="single" w:sz="8" w:color="0000FF"/>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4">
              <w:r>
                <w:rPr>
                  <w:rFonts w:ascii="Arial" w:cs="Arial" w:eastAsia="Arial" w:hAnsi="Arial"/>
                  <w:sz w:val="16"/>
                  <w:szCs w:val="16"/>
                  <w:color w:val="0000FF"/>
                </w:rPr>
                <w:t>Warrant to purchase stock issued to Hercules Capital, dated September 17,</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89"/>
              </w:rPr>
            </w:pPr>
            <w:hyperlink r:id="rId134">
              <w:r>
                <w:rPr>
                  <w:rFonts w:ascii="Arial" w:cs="Arial" w:eastAsia="Arial" w:hAnsi="Arial"/>
                  <w:sz w:val="16"/>
                  <w:szCs w:val="16"/>
                  <w:color w:val="0000FF"/>
                  <w:w w:val="89"/>
                </w:rPr>
                <w:t>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5">
              <w:r>
                <w:rPr>
                  <w:rFonts w:ascii="Arial" w:cs="Arial" w:eastAsia="Arial" w:hAnsi="Arial"/>
                  <w:sz w:val="16"/>
                  <w:szCs w:val="16"/>
                  <w:color w:val="0000FF"/>
                </w:rPr>
                <w:t>First Amendment to Warrant to purchase stock issued to Hercules Capital, dated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7"/>
              </w:rPr>
            </w:pPr>
            <w:hyperlink r:id="rId135">
              <w:r>
                <w:rPr>
                  <w:rFonts w:ascii="Arial" w:cs="Arial" w:eastAsia="Arial" w:hAnsi="Arial"/>
                  <w:sz w:val="16"/>
                  <w:szCs w:val="16"/>
                  <w:color w:val="0000FF"/>
                  <w:w w:val="97"/>
                </w:rPr>
                <w:t>May 9,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23"/>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6">
              <w:r>
                <w:rPr>
                  <w:rFonts w:ascii="Arial" w:cs="Arial" w:eastAsia="Arial" w:hAnsi="Arial"/>
                  <w:sz w:val="16"/>
                  <w:szCs w:val="16"/>
                  <w:color w:val="0000FF"/>
                </w:rPr>
                <w:t>Form of Warrant to purchase stock issuable pursuant to the Loan and Security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Agreement, as amended, by and between the Registrant and Hercules Capital,</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80" w:type="dxa"/>
            <w:vAlign w:val="bottom"/>
            <w:gridSpan w:val="24"/>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7">
              <w:r>
                <w:rPr>
                  <w:rFonts w:ascii="Arial" w:cs="Arial" w:eastAsia="Arial" w:hAnsi="Arial"/>
                  <w:sz w:val="16"/>
                  <w:szCs w:val="16"/>
                  <w:color w:val="0000FF"/>
                </w:rPr>
                <w:t>Form of Pre-Funded Warrant to purchase common stock</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8">
              <w:r>
                <w:rPr>
                  <w:rFonts w:ascii="Arial" w:cs="Arial" w:eastAsia="Arial" w:hAnsi="Arial"/>
                  <w:sz w:val="16"/>
                  <w:szCs w:val="16"/>
                  <w:color w:val="0000FF"/>
                </w:rPr>
                <w:t>Form of Pre-Funded Warrant to purchase common stock</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Second Amendment to the Supply and Packaging Services Agreement, by and</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14"/>
          </w:tcPr>
          <w:p>
            <w:pPr>
              <w:spacing w:after="0" w:line="169" w:lineRule="exact"/>
              <w:rPr>
                <w:sz w:val="20"/>
                <w:szCs w:val="20"/>
                <w:color w:val="auto"/>
              </w:rPr>
            </w:pPr>
            <w:r>
              <w:rPr>
                <w:rFonts w:ascii="Arial" w:cs="Arial" w:eastAsia="Arial" w:hAnsi="Arial"/>
                <w:sz w:val="16"/>
                <w:szCs w:val="16"/>
                <w:color w:val="0000FF"/>
              </w:rPr>
              <w:t>between Sandoz GmbH and the Registrant, dated March 23, 2026</w:t>
            </w:r>
          </w:p>
        </w:tc>
        <w:tc>
          <w:tcPr>
            <w:tcW w:w="9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4"/>
                <w:szCs w:val="24"/>
                <w:color w:val="auto"/>
              </w:rPr>
            </w:pPr>
          </w:p>
        </w:tc>
        <w:tc>
          <w:tcPr>
            <w:tcW w:w="5800" w:type="dxa"/>
            <w:vAlign w:val="bottom"/>
            <w:gridSpan w:val="28"/>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Fifth Amendment to the Loan and Security Agreement, dated February 25, 2026,</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by and among Hercules Capital and the Registrant</w:t>
              </w:r>
            </w:hyperlink>
          </w:p>
        </w:tc>
        <w:tc>
          <w:tcPr>
            <w:tcW w:w="2180" w:type="dxa"/>
            <w:vAlign w:val="bottom"/>
            <w:tcBorders>
              <w:top w:val="single" w:sz="8" w:color="0000FF"/>
            </w:tcBorders>
            <w:gridSpan w:val="17"/>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w w:val="99"/>
              </w:rPr>
              <w:t>10.3#</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Amended and Restated Non-Employee Director Compensation Program,</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6"/>
                <w:szCs w:val="16"/>
                <w:color w:val="0000FF"/>
                <w:w w:val="99"/>
              </w:rPr>
              <w:t>effective January 1, 2026</w:t>
            </w:r>
          </w:p>
        </w:tc>
        <w:tc>
          <w:tcPr>
            <w:tcW w:w="20" w:type="dxa"/>
            <w:vAlign w:val="bottom"/>
            <w:tcBorders>
              <w:top w:val="single" w:sz="8" w:color="0000FF"/>
              <w:bottom w:val="single" w:sz="8" w:color="0000EE"/>
            </w:tcBorders>
          </w:tcPr>
          <w:p>
            <w:pPr>
              <w:spacing w:after="0"/>
              <w:rPr>
                <w:sz w:val="14"/>
                <w:szCs w:val="14"/>
                <w:color w:val="auto"/>
              </w:rPr>
            </w:pPr>
          </w:p>
        </w:tc>
        <w:tc>
          <w:tcPr>
            <w:tcW w:w="3440" w:type="dxa"/>
            <w:vAlign w:val="bottom"/>
            <w:tcBorders>
              <w:top w:val="single" w:sz="8" w:color="0000FF"/>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Executive Officer of Phathom Pharmaceuticals, Inc., as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19"/>
          </w:tcPr>
          <w:p>
            <w:pPr>
              <w:spacing w:after="0" w:line="169" w:lineRule="exact"/>
              <w:rPr>
                <w:sz w:val="20"/>
                <w:szCs w:val="20"/>
                <w:color w:val="auto"/>
              </w:rPr>
            </w:pPr>
            <w:r>
              <w:rPr>
                <w:rFonts w:ascii="Arial" w:cs="Arial" w:eastAsia="Arial" w:hAnsi="Arial"/>
                <w:sz w:val="16"/>
                <w:szCs w:val="16"/>
                <w:color w:val="0000FF"/>
                <w:w w:val="99"/>
              </w:rPr>
              <w:t>required by Rule 13a-14(a) or Rule 15d-14(a), as adopted pursuant to Section</w:t>
            </w:r>
          </w:p>
        </w:tc>
        <w:tc>
          <w:tcPr>
            <w:tcW w:w="10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284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Financial Officer of Phathom Pharmaceuticals, Inc., as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4140" w:type="dxa"/>
            <w:vAlign w:val="bottom"/>
            <w:gridSpan w:val="11"/>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0" w:type="dxa"/>
            <w:vAlign w:val="bottom"/>
            <w:gridSpan w:val="28"/>
          </w:tcPr>
          <w:p>
            <w:pPr>
              <w:spacing w:after="0" w:line="169" w:lineRule="exact"/>
              <w:rPr>
                <w:sz w:val="20"/>
                <w:szCs w:val="20"/>
                <w:color w:val="auto"/>
              </w:rPr>
            </w:pPr>
            <w:r>
              <w:rPr>
                <w:rFonts w:ascii="Arial" w:cs="Arial" w:eastAsia="Arial" w:hAnsi="Arial"/>
                <w:sz w:val="16"/>
                <w:szCs w:val="16"/>
                <w:color w:val="0000FF"/>
              </w:rPr>
              <w:t>required by Rule 13a-14(a) or Rule 15d-14(a), as adopted pursuant to Section</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284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4380" w:type="dxa"/>
            <w:vAlign w:val="bottom"/>
            <w:gridSpan w:val="17"/>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6"/>
          </w:tcPr>
          <w:p>
            <w:pPr>
              <w:spacing w:after="0" w:line="169" w:lineRule="exact"/>
              <w:rPr>
                <w:sz w:val="20"/>
                <w:szCs w:val="20"/>
                <w:color w:val="auto"/>
              </w:rPr>
            </w:pPr>
            <w:r>
              <w:rPr>
                <w:rFonts w:ascii="Arial" w:cs="Arial" w:eastAsia="Arial" w:hAnsi="Arial"/>
                <w:sz w:val="16"/>
                <w:szCs w:val="16"/>
                <w:color w:val="0000FF"/>
              </w:rPr>
              <w:t>Oxley Act of 2002</w:t>
            </w:r>
          </w:p>
        </w:tc>
        <w:tc>
          <w:tcPr>
            <w:tcW w:w="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6"/>
            <w:shd w:val="clear" w:color="auto" w:fill="0000FF"/>
          </w:tcPr>
          <w:p>
            <w:pPr>
              <w:spacing w:after="0" w:line="20" w:lineRule="exact"/>
              <w:rPr>
                <w:sz w:val="1"/>
                <w:szCs w:val="1"/>
                <w:color w:val="auto"/>
              </w:rPr>
            </w:pPr>
          </w:p>
        </w:tc>
        <w:tc>
          <w:tcPr>
            <w:tcW w:w="4380" w:type="dxa"/>
            <w:vAlign w:val="bottom"/>
            <w:gridSpan w:val="1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60" w:type="dxa"/>
            <w:vAlign w:val="bottom"/>
            <w:gridSpan w:val="23"/>
            <w:shd w:val="clear" w:color="auto" w:fill="0000FF"/>
          </w:tcPr>
          <w:p>
            <w:pPr>
              <w:spacing w:after="0" w:line="20" w:lineRule="exact"/>
              <w:rPr>
                <w:sz w:val="1"/>
                <w:szCs w:val="1"/>
                <w:color w:val="auto"/>
              </w:rPr>
            </w:pPr>
          </w:p>
        </w:tc>
        <w:tc>
          <w:tcPr>
            <w:tcW w:w="14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60" w:type="dxa"/>
            <w:vAlign w:val="bottom"/>
            <w:gridSpan w:val="23"/>
          </w:tcPr>
          <w:p>
            <w:pPr>
              <w:spacing w:after="0" w:line="169" w:lineRule="exact"/>
              <w:rPr>
                <w:sz w:val="20"/>
                <w:szCs w:val="20"/>
                <w:color w:val="auto"/>
              </w:rPr>
            </w:pPr>
            <w:r>
              <w:rPr>
                <w:rFonts w:ascii="Arial" w:cs="Arial" w:eastAsia="Arial" w:hAnsi="Arial"/>
                <w:sz w:val="16"/>
                <w:szCs w:val="16"/>
                <w:color w:val="0000FF"/>
              </w:rPr>
              <w:t>Oxley Act of 2002</w:t>
            </w:r>
          </w:p>
        </w:tc>
        <w:tc>
          <w:tcPr>
            <w:tcW w:w="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6"/>
            <w:shd w:val="clear" w:color="auto" w:fill="0000FF"/>
          </w:tcPr>
          <w:p>
            <w:pPr>
              <w:spacing w:after="0" w:line="20" w:lineRule="exact"/>
              <w:rPr>
                <w:sz w:val="1"/>
                <w:szCs w:val="1"/>
                <w:color w:val="auto"/>
              </w:rPr>
            </w:pPr>
          </w:p>
        </w:tc>
        <w:tc>
          <w:tcPr>
            <w:tcW w:w="452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jc w:val="cente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auto"/>
              </w:rPr>
              <w:t>Interactive Data File because XBRL tags are embedded within the Inline XBRL</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0" w:type="dxa"/>
            <w:vAlign w:val="bottom"/>
            <w:gridSpan w:val="28"/>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609"/>
        </w:trPr>
        <w:tc>
          <w:tcPr>
            <w:tcW w:w="1060" w:type="dxa"/>
            <w:vAlign w:val="bottom"/>
          </w:tcPr>
          <w:p>
            <w:pPr>
              <w:spacing w:after="0"/>
              <w:rPr>
                <w:sz w:val="24"/>
                <w:szCs w:val="24"/>
                <w:color w:val="auto"/>
              </w:rPr>
            </w:pPr>
          </w:p>
        </w:tc>
        <w:tc>
          <w:tcPr>
            <w:tcW w:w="4940" w:type="dxa"/>
            <w:vAlign w:val="bottom"/>
            <w:gridSpan w:val="15"/>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8"/>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10/29/19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5/30/23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12/15/23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11/8/21</w:t>
            </w:r>
          </w:p>
        </w:tc>
        <w:tc>
          <w:tcPr>
            <w:tcW w:w="116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8/19/24</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1/8/26</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2/26/26</w:t>
            </w:r>
          </w:p>
        </w:tc>
        <w:tc>
          <w:tcPr>
            <w:tcW w:w="11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10.38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67"/>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980" w:space="120"/>
            <w:col w:w="4140"/>
          </w:cols>
          <w:pgMar w:left="320" w:top="1012" w:right="339" w:bottom="1440" w:gutter="0" w:footer="0" w:header="0"/>
        </w:sectPr>
      </w:pPr>
    </w:p>
    <w:bookmarkStart w:id="35" w:name="page36"/>
    <w:bookmarkEnd w:id="35"/>
    <w:p>
      <w:pPr>
        <w:ind w:left="200"/>
        <w:spacing w:after="0"/>
        <w:tabs>
          <w:tab w:leader="none" w:pos="1160" w:val="left"/>
          <w:tab w:leader="none" w:pos="1064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Inline XBRL Taxonomy Extension Schema Document</w:t>
      </w:r>
      <w:r>
        <w:rPr>
          <w:sz w:val="20"/>
          <w:szCs w:val="20"/>
          <w:color w:val="auto"/>
        </w:rPr>
        <w:tab/>
      </w:r>
      <w:r>
        <w:rPr>
          <w:rFonts w:ascii="Arial" w:cs="Arial" w:eastAsia="Arial" w:hAnsi="Arial"/>
          <w:sz w:val="16"/>
          <w:szCs w:val="16"/>
          <w:color w:val="auto"/>
        </w:rPr>
        <w:t>X</w:t>
      </w:r>
    </w:p>
    <w:p>
      <w:pPr>
        <w:spacing w:after="0" w:line="194" w:lineRule="exact"/>
        <w:rPr>
          <w:sz w:val="20"/>
          <w:szCs w:val="20"/>
          <w:color w:val="auto"/>
        </w:rPr>
      </w:pPr>
    </w:p>
    <w:p>
      <w:pPr>
        <w:ind w:left="1180" w:hanging="781"/>
        <w:spacing w:after="0"/>
        <w:tabs>
          <w:tab w:leader="none" w:pos="11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50" w:lineRule="exact"/>
        <w:rPr>
          <w:rFonts w:ascii="Arial" w:cs="Arial" w:eastAsia="Arial" w:hAnsi="Arial"/>
          <w:sz w:val="16"/>
          <w:szCs w:val="16"/>
          <w:color w:val="auto"/>
        </w:rPr>
      </w:pPr>
    </w:p>
    <w:p>
      <w:pPr>
        <w:ind w:left="120" w:hanging="112"/>
        <w:spacing w:after="0"/>
        <w:tabs>
          <w:tab w:leader="none" w:pos="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Portions of this exhibit have been omitted for confidentiality purposes.</w:t>
      </w:r>
    </w:p>
    <w:p>
      <w:pPr>
        <w:spacing w:after="0" w:line="55" w:lineRule="exact"/>
        <w:rPr>
          <w:sz w:val="20"/>
          <w:szCs w:val="20"/>
          <w:color w:val="auto"/>
        </w:rPr>
      </w:pPr>
    </w:p>
    <w:p>
      <w:pPr>
        <w:ind w:right="100" w:firstLine="8"/>
        <w:spacing w:after="0" w:line="271" w:lineRule="auto"/>
        <w:tabs>
          <w:tab w:leader="none" w:pos="1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exhibits and schedules have been omitted pursuant to Item 601(a)(5) of Regulation S-K. The registrant hereby undertakes to furnish supplementally a copy of any omitted exhibit or schedule upon request by the SEC.</w:t>
      </w:r>
    </w:p>
    <w:p>
      <w:pPr>
        <w:spacing w:after="0"/>
        <w:rPr>
          <w:rFonts w:ascii="Arial" w:cs="Arial" w:eastAsia="Arial" w:hAnsi="Arial"/>
          <w:sz w:val="14"/>
          <w:szCs w:val="14"/>
          <w:color w:val="auto"/>
        </w:rPr>
      </w:pPr>
      <w:r>
        <w:rPr>
          <w:rFonts w:ascii="Arial" w:cs="Arial" w:eastAsia="Arial" w:hAnsi="Arial"/>
          <w:sz w:val="14"/>
          <w:szCs w:val="14"/>
          <w:color w:val="auto"/>
        </w:rPr>
        <w:t># Indicates management contract or compensatory plan.</w:t>
      </w:r>
    </w:p>
    <w:p>
      <w:pPr>
        <w:spacing w:after="0" w:line="42" w:lineRule="exact"/>
        <w:rPr>
          <w:sz w:val="20"/>
          <w:szCs w:val="20"/>
          <w:color w:val="auto"/>
        </w:rPr>
      </w:pPr>
    </w:p>
    <w:p>
      <w:pPr>
        <w:ind w:firstLine="8"/>
        <w:spacing w:after="0" w:line="285"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16" w:right="579" w:bottom="1440" w:gutter="0" w:footer="0" w:header="0"/>
        </w:sectPr>
      </w:pPr>
    </w:p>
    <w:bookmarkStart w:id="36" w:name="page37"/>
    <w:bookmarkEnd w:id="36"/>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PHATHOM PHARMACEUTICALS, INC.</w:t>
      </w:r>
    </w:p>
    <w:p>
      <w:pPr>
        <w:spacing w:after="0" w:line="198"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April 30, 2026</w:t>
      </w:r>
      <w:r>
        <w:rPr>
          <w:sz w:val="20"/>
          <w:szCs w:val="20"/>
          <w:color w:val="auto"/>
        </w:rPr>
        <w:tab/>
      </w:r>
      <w:r>
        <w:rPr>
          <w:rFonts w:ascii="Arial" w:cs="Arial" w:eastAsia="Arial" w:hAnsi="Arial"/>
          <w:sz w:val="18"/>
          <w:szCs w:val="18"/>
          <w:color w:val="auto"/>
        </w:rPr>
        <w:t>By:</w:t>
        <w:tab/>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Steven Basta</w:t>
      </w:r>
    </w:p>
    <w:p>
      <w:pPr>
        <w:ind w:left="6480"/>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April 30, 2026</w:t>
      </w:r>
      <w:r>
        <w:rPr>
          <w:sz w:val="20"/>
          <w:szCs w:val="20"/>
          <w:color w:val="auto"/>
        </w:rPr>
        <w:tab/>
      </w:r>
      <w:r>
        <w:rPr>
          <w:rFonts w:ascii="Arial" w:cs="Arial" w:eastAsia="Arial" w:hAnsi="Arial"/>
          <w:sz w:val="18"/>
          <w:szCs w:val="18"/>
          <w:color w:val="auto"/>
        </w:rPr>
        <w:t>By:</w:t>
        <w:tab/>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Sanjeev Narula</w:t>
      </w:r>
    </w:p>
    <w:p>
      <w:pPr>
        <w:ind w:left="6480"/>
        <w:spacing w:after="0" w:line="234" w:lineRule="auto"/>
        <w:rPr>
          <w:sz w:val="20"/>
          <w:szCs w:val="20"/>
          <w:color w:val="auto"/>
        </w:rPr>
      </w:pPr>
      <w:r>
        <w:rPr>
          <w:rFonts w:ascii="Arial" w:cs="Arial" w:eastAsia="Arial" w:hAnsi="Arial"/>
          <w:sz w:val="18"/>
          <w:szCs w:val="18"/>
          <w:color w:val="auto"/>
        </w:rPr>
        <w:t>Chief Financial and Business Officer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12" w:right="659" w:bottom="1440" w:gutter="0" w:footer="0" w:header="0"/>
        </w:sectPr>
      </w:pPr>
    </w:p>
    <w:bookmarkStart w:id="37" w:name="page38"/>
    <w:bookmarkEnd w:id="37"/>
    <w:p>
      <w:pPr>
        <w:jc w:val="right"/>
        <w:spacing w:after="0"/>
        <w:rPr>
          <w:sz w:val="20"/>
          <w:szCs w:val="20"/>
          <w:color w:val="auto"/>
        </w:rPr>
      </w:pPr>
      <w:r>
        <w:rPr>
          <w:rFonts w:ascii="Cambria" w:cs="Cambria" w:eastAsia="Cambria" w:hAnsi="Cambria"/>
          <w:sz w:val="20"/>
          <w:szCs w:val="20"/>
          <w:b w:val="1"/>
          <w:bCs w:val="1"/>
          <w:color w:val="auto"/>
        </w:rPr>
        <w:t>Exhibit 10.1</w:t>
      </w:r>
    </w:p>
    <w:p>
      <w:pPr>
        <w:spacing w:after="0" w:line="30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 xml:space="preserve">CERTAIN IDENTIFIED INFORMATION HAS BEEN EXCLUDED FROM THIS EXHIBIT BECAUSE IT IS NOT MATERIAL AND WOULD LIKELY CAUSE COMPETITIVE HARM TO THE REGISTRANT IF PUBLICLY DISCLOSED. THE OMISSIONS HAVE BEEN INDICATED BY </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w:t>
      </w:r>
      <w:r>
        <w:rPr>
          <w:rFonts w:ascii="Cambria" w:cs="Cambria" w:eastAsia="Cambria" w:hAnsi="Cambria"/>
          <w:sz w:val="18"/>
          <w:szCs w:val="18"/>
          <w:b w:val="1"/>
          <w:bCs w:val="1"/>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380"/>
        <w:spacing w:after="0"/>
        <w:rPr>
          <w:sz w:val="20"/>
          <w:szCs w:val="20"/>
          <w:color w:val="auto"/>
        </w:rPr>
      </w:pPr>
      <w:r>
        <w:rPr>
          <w:rFonts w:ascii="Cambria" w:cs="Cambria" w:eastAsia="Cambria" w:hAnsi="Cambria"/>
          <w:sz w:val="25"/>
          <w:szCs w:val="25"/>
          <w:b w:val="1"/>
          <w:bCs w:val="1"/>
          <w:color w:val="auto"/>
        </w:rPr>
        <w:t>2</w:t>
      </w:r>
      <w:r>
        <w:rPr>
          <w:rFonts w:ascii="Cambria" w:cs="Cambria" w:eastAsia="Cambria" w:hAnsi="Cambria"/>
          <w:sz w:val="16"/>
          <w:szCs w:val="16"/>
          <w:b w:val="1"/>
          <w:bCs w:val="1"/>
          <w:color w:val="auto"/>
        </w:rPr>
        <w:t>nd</w:t>
      </w:r>
      <w:r>
        <w:rPr>
          <w:rFonts w:ascii="Cambria" w:cs="Cambria" w:eastAsia="Cambria" w:hAnsi="Cambria"/>
          <w:sz w:val="25"/>
          <w:szCs w:val="25"/>
          <w:b w:val="1"/>
          <w:bCs w:val="1"/>
          <w:color w:val="auto"/>
        </w:rPr>
        <w:t xml:space="preserve"> AMENDMENT</w:t>
      </w:r>
    </w:p>
    <w:p>
      <w:pPr>
        <w:spacing w:after="0" w:line="37" w:lineRule="exact"/>
        <w:rPr>
          <w:sz w:val="20"/>
          <w:szCs w:val="20"/>
          <w:color w:val="auto"/>
        </w:rPr>
      </w:pPr>
    </w:p>
    <w:p>
      <w:pPr>
        <w:jc w:val="center"/>
        <w:ind w:right="380"/>
        <w:spacing w:after="0"/>
        <w:rPr>
          <w:sz w:val="20"/>
          <w:szCs w:val="20"/>
          <w:color w:val="auto"/>
        </w:rPr>
      </w:pPr>
      <w:r>
        <w:rPr>
          <w:rFonts w:ascii="Cambria" w:cs="Cambria" w:eastAsia="Cambria" w:hAnsi="Cambria"/>
          <w:sz w:val="20"/>
          <w:szCs w:val="20"/>
          <w:b w:val="1"/>
          <w:bCs w:val="1"/>
          <w:color w:val="auto"/>
        </w:rPr>
        <w:t>to the</w:t>
      </w:r>
    </w:p>
    <w:p>
      <w:pPr>
        <w:spacing w:after="0" w:line="43" w:lineRule="exact"/>
        <w:rPr>
          <w:sz w:val="20"/>
          <w:szCs w:val="20"/>
          <w:color w:val="auto"/>
        </w:rPr>
      </w:pPr>
    </w:p>
    <w:p>
      <w:pPr>
        <w:jc w:val="center"/>
        <w:ind w:right="380"/>
        <w:spacing w:after="0"/>
        <w:rPr>
          <w:sz w:val="20"/>
          <w:szCs w:val="20"/>
          <w:color w:val="auto"/>
        </w:rPr>
      </w:pPr>
      <w:r>
        <w:rPr>
          <w:rFonts w:ascii="Cambria" w:cs="Cambria" w:eastAsia="Cambria" w:hAnsi="Cambria"/>
          <w:sz w:val="25"/>
          <w:szCs w:val="25"/>
          <w:b w:val="1"/>
          <w:bCs w:val="1"/>
          <w:color w:val="auto"/>
        </w:rPr>
        <w:t>SUPPLY AND PACKAGING SERVICES AGREEMENT</w:t>
      </w:r>
    </w:p>
    <w:p>
      <w:pPr>
        <w:spacing w:after="0" w:line="44" w:lineRule="exact"/>
        <w:rPr>
          <w:sz w:val="20"/>
          <w:szCs w:val="20"/>
          <w:color w:val="auto"/>
        </w:rPr>
      </w:pPr>
    </w:p>
    <w:p>
      <w:pPr>
        <w:jc w:val="center"/>
        <w:ind w:right="380"/>
        <w:spacing w:after="0"/>
        <w:rPr>
          <w:sz w:val="20"/>
          <w:szCs w:val="20"/>
          <w:color w:val="auto"/>
        </w:rPr>
      </w:pPr>
      <w:r>
        <w:rPr>
          <w:rFonts w:ascii="Cambria" w:cs="Cambria" w:eastAsia="Cambria" w:hAnsi="Cambria"/>
          <w:sz w:val="25"/>
          <w:szCs w:val="25"/>
          <w:b w:val="1"/>
          <w:bCs w:val="1"/>
          <w:color w:val="auto"/>
        </w:rPr>
        <w:t>Dated December 30, 2020</w:t>
      </w:r>
    </w:p>
    <w:p>
      <w:pPr>
        <w:spacing w:after="0" w:line="389" w:lineRule="exact"/>
        <w:rPr>
          <w:sz w:val="20"/>
          <w:szCs w:val="20"/>
          <w:color w:val="auto"/>
        </w:rPr>
      </w:pPr>
    </w:p>
    <w:p>
      <w:pPr>
        <w:ind w:right="600"/>
        <w:spacing w:after="0" w:line="236" w:lineRule="auto"/>
        <w:rPr>
          <w:sz w:val="20"/>
          <w:szCs w:val="20"/>
          <w:color w:val="auto"/>
        </w:rPr>
      </w:pPr>
      <w:r>
        <w:rPr>
          <w:rFonts w:ascii="Cambria" w:cs="Cambria" w:eastAsia="Cambria" w:hAnsi="Cambria"/>
          <w:sz w:val="22"/>
          <w:szCs w:val="22"/>
          <w:b w:val="1"/>
          <w:bCs w:val="1"/>
          <w:color w:val="auto"/>
        </w:rPr>
        <w:t>This second amendment (“Second Amendment”) is retroactively made effective as of 23rd March, 2026 (the “Second Amendment Effective Date”), by and between:</w:t>
      </w:r>
    </w:p>
    <w:p>
      <w:pPr>
        <w:spacing w:after="0" w:line="114" w:lineRule="exact"/>
        <w:rPr>
          <w:sz w:val="20"/>
          <w:szCs w:val="20"/>
          <w:color w:val="auto"/>
        </w:rPr>
      </w:pPr>
    </w:p>
    <w:p>
      <w:pPr>
        <w:ind w:right="800"/>
        <w:spacing w:after="0" w:line="237" w:lineRule="auto"/>
        <w:rPr>
          <w:sz w:val="20"/>
          <w:szCs w:val="20"/>
          <w:color w:val="auto"/>
        </w:rPr>
      </w:pPr>
      <w:r>
        <w:rPr>
          <w:rFonts w:ascii="Cambria" w:cs="Cambria" w:eastAsia="Cambria" w:hAnsi="Cambria"/>
          <w:sz w:val="22"/>
          <w:szCs w:val="22"/>
          <w:b w:val="1"/>
          <w:bCs w:val="1"/>
          <w:color w:val="auto"/>
        </w:rPr>
        <w:t xml:space="preserve">Sandoz GmbH, a limited liability company organized under the laws of Austria, registered with the commercial register of the district court </w:t>
      </w:r>
      <w:r>
        <w:rPr>
          <w:rFonts w:ascii="Cambria" w:cs="Cambria" w:eastAsia="Cambria" w:hAnsi="Cambria"/>
          <w:sz w:val="22"/>
          <w:szCs w:val="22"/>
          <w:i w:val="1"/>
          <w:iCs w:val="1"/>
          <w:color w:val="auto"/>
        </w:rPr>
        <w:t>(Landesgericht)</w:t>
      </w:r>
      <w:r>
        <w:rPr>
          <w:rFonts w:ascii="Cambria" w:cs="Cambria" w:eastAsia="Cambria" w:hAnsi="Cambria"/>
          <w:sz w:val="22"/>
          <w:szCs w:val="22"/>
          <w:b w:val="1"/>
          <w:bCs w:val="1"/>
          <w:color w:val="auto"/>
        </w:rPr>
        <w:t xml:space="preserve"> Innsbruck under FN 50587v, having its registered office at Biochemiestrasse 10, 6250 Kundl, Austria (“Supplier”), and</w:t>
      </w:r>
    </w:p>
    <w:p>
      <w:pPr>
        <w:spacing w:after="0" w:line="113" w:lineRule="exact"/>
        <w:rPr>
          <w:sz w:val="20"/>
          <w:szCs w:val="20"/>
          <w:color w:val="auto"/>
        </w:rPr>
      </w:pPr>
    </w:p>
    <w:p>
      <w:pPr>
        <w:jc w:val="both"/>
        <w:ind w:right="400"/>
        <w:spacing w:after="0" w:line="237" w:lineRule="auto"/>
        <w:rPr>
          <w:sz w:val="20"/>
          <w:szCs w:val="20"/>
          <w:color w:val="auto"/>
        </w:rPr>
      </w:pPr>
      <w:r>
        <w:rPr>
          <w:rFonts w:ascii="Cambria" w:cs="Cambria" w:eastAsia="Cambria" w:hAnsi="Cambria"/>
          <w:sz w:val="22"/>
          <w:szCs w:val="22"/>
          <w:b w:val="1"/>
          <w:bCs w:val="1"/>
          <w:color w:val="auto"/>
        </w:rPr>
        <w:t>Phathom Pharmaceuticals, Inc., a corporation organized under the laws of Delaware, DE file number 6701876, having its principal place of business at 2150 E. Lake Cook Road, Suite 800, Buffalo Grove, IL 60089, USA (“Customer”).</w:t>
      </w:r>
    </w:p>
    <w:p>
      <w:pPr>
        <w:spacing w:after="0" w:line="107"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Supplier and Customer are each referred to herein as a “Party” and together as the “Parties.”</w:t>
      </w:r>
    </w:p>
    <w:p>
      <w:pPr>
        <w:spacing w:after="0" w:line="255"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RECITALS</w:t>
      </w:r>
    </w:p>
    <w:p>
      <w:pPr>
        <w:spacing w:after="0" w:line="221" w:lineRule="exact"/>
        <w:rPr>
          <w:sz w:val="20"/>
          <w:szCs w:val="20"/>
          <w:color w:val="auto"/>
        </w:rPr>
      </w:pPr>
    </w:p>
    <w:p>
      <w:pPr>
        <w:ind w:right="660"/>
        <w:spacing w:after="0" w:line="237" w:lineRule="auto"/>
        <w:rPr>
          <w:sz w:val="20"/>
          <w:szCs w:val="20"/>
          <w:color w:val="auto"/>
        </w:rPr>
      </w:pPr>
      <w:r>
        <w:rPr>
          <w:rFonts w:ascii="Cambria" w:cs="Cambria" w:eastAsia="Cambria" w:hAnsi="Cambria"/>
          <w:sz w:val="22"/>
          <w:szCs w:val="22"/>
          <w:b w:val="1"/>
          <w:bCs w:val="1"/>
          <w:color w:val="auto"/>
        </w:rPr>
        <w:t>WHEREAS, the Parties entered into that certain Supply and Packaging Services Agreement dated December 30, 2020, which the Parties amended by the First Amendment effective as of 04 December 2021 (the “Agreement”); and</w:t>
      </w:r>
    </w:p>
    <w:p>
      <w:pPr>
        <w:spacing w:after="0" w:line="113" w:lineRule="exact"/>
        <w:rPr>
          <w:sz w:val="20"/>
          <w:szCs w:val="20"/>
          <w:color w:val="auto"/>
        </w:rPr>
      </w:pPr>
    </w:p>
    <w:p>
      <w:pPr>
        <w:ind w:right="600"/>
        <w:spacing w:after="0" w:line="236" w:lineRule="auto"/>
        <w:rPr>
          <w:sz w:val="20"/>
          <w:szCs w:val="20"/>
          <w:color w:val="auto"/>
        </w:rPr>
      </w:pPr>
      <w:r>
        <w:rPr>
          <w:rFonts w:ascii="Cambria" w:cs="Cambria" w:eastAsia="Cambria" w:hAnsi="Cambria"/>
          <w:sz w:val="22"/>
          <w:szCs w:val="22"/>
          <w:b w:val="1"/>
          <w:bCs w:val="1"/>
          <w:color w:val="auto"/>
        </w:rPr>
        <w:t>WHEREAS, the Parties wish to amend certain terms of the Agreement in accordance with the terms set forth herein.</w:t>
      </w:r>
    </w:p>
    <w:p>
      <w:pPr>
        <w:spacing w:after="0" w:line="114" w:lineRule="exact"/>
        <w:rPr>
          <w:sz w:val="20"/>
          <w:szCs w:val="20"/>
          <w:color w:val="auto"/>
        </w:rPr>
      </w:pPr>
    </w:p>
    <w:p>
      <w:pPr>
        <w:ind w:right="840"/>
        <w:spacing w:after="0" w:line="236" w:lineRule="auto"/>
        <w:rPr>
          <w:sz w:val="20"/>
          <w:szCs w:val="20"/>
          <w:color w:val="auto"/>
        </w:rPr>
      </w:pPr>
      <w:r>
        <w:rPr>
          <w:rFonts w:ascii="Cambria" w:cs="Cambria" w:eastAsia="Cambria" w:hAnsi="Cambria"/>
          <w:sz w:val="22"/>
          <w:szCs w:val="22"/>
          <w:b w:val="1"/>
          <w:bCs w:val="1"/>
          <w:color w:val="auto"/>
        </w:rPr>
        <w:t>NOW, THEREFORE, in consideration of the mutual covenants and agreements set forth herein, the Parties hereby agree as follows: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1. Price Adjustment for Calendar Year 2026</w:t>
      </w:r>
    </w:p>
    <w:p>
      <w:pPr>
        <w:spacing w:after="0" w:line="113" w:lineRule="exact"/>
        <w:rPr>
          <w:sz w:val="20"/>
          <w:szCs w:val="20"/>
          <w:color w:val="auto"/>
        </w:rPr>
      </w:pPr>
    </w:p>
    <w:p>
      <w:pPr>
        <w:ind w:right="560"/>
        <w:spacing w:after="0" w:line="237" w:lineRule="auto"/>
        <w:rPr>
          <w:sz w:val="20"/>
          <w:szCs w:val="20"/>
          <w:color w:val="auto"/>
        </w:rPr>
      </w:pPr>
      <w:r>
        <w:rPr>
          <w:rFonts w:ascii="Cambria" w:cs="Cambria" w:eastAsia="Cambria" w:hAnsi="Cambria"/>
          <w:sz w:val="22"/>
          <w:szCs w:val="22"/>
          <w:b w:val="1"/>
          <w:bCs w:val="1"/>
          <w:color w:val="auto"/>
        </w:rPr>
        <w:t>Notwithstanding Section 6.2 of the Agreement, the Parties hereby agree that, with respect to all Orders with requested delivery dates in calendar year [***], irrespective of (i) the date of issuance of such Order, and (ii) whether the quantities set forth in such Order have already been shipped, partially shipped or are yet to be shipped, the Prices shall be increased by [***] versus the Prices listed in Annex 6, and that such price-increase constitutes the maximum possible price increase for the calendar year [***].</w:t>
      </w:r>
    </w:p>
    <w:p>
      <w:pPr>
        <w:spacing w:after="0" w:line="200" w:lineRule="exact"/>
        <w:rPr>
          <w:sz w:val="20"/>
          <w:szCs w:val="20"/>
          <w:color w:val="auto"/>
        </w:rPr>
      </w:pPr>
    </w:p>
    <w:p>
      <w:pPr>
        <w:spacing w:after="0" w:line="282" w:lineRule="exact"/>
        <w:rPr>
          <w:sz w:val="20"/>
          <w:szCs w:val="20"/>
          <w:color w:val="auto"/>
        </w:rPr>
      </w:pPr>
    </w:p>
    <w:p>
      <w:pPr>
        <w:ind w:left="240" w:right="6120" w:hanging="232"/>
        <w:spacing w:after="0" w:line="321" w:lineRule="auto"/>
        <w:tabs>
          <w:tab w:leader="none" w:pos="390" w:val="left"/>
        </w:tabs>
        <w:numPr>
          <w:ilvl w:val="0"/>
          <w:numId w:val="13"/>
        </w:numPr>
        <w:rPr>
          <w:rFonts w:ascii="Cambria" w:cs="Cambria" w:eastAsia="Cambria" w:hAnsi="Cambria"/>
          <w:sz w:val="22"/>
          <w:szCs w:val="22"/>
          <w:b w:val="1"/>
          <w:bCs w:val="1"/>
          <w:color w:val="auto"/>
        </w:rPr>
      </w:pPr>
      <w:r>
        <w:rPr>
          <w:rFonts w:ascii="Cambria" w:cs="Cambria" w:eastAsia="Cambria" w:hAnsi="Cambria"/>
          <w:sz w:val="22"/>
          <w:szCs w:val="22"/>
          <w:b w:val="1"/>
          <w:bCs w:val="1"/>
          <w:color w:val="auto"/>
        </w:rPr>
        <w:t xml:space="preserve">The Price per pack shall be amended as follows: </w:t>
      </w:r>
      <w:r>
        <w:rPr>
          <w:rFonts w:ascii="Times New Roman" w:cs="Times New Roman" w:eastAsia="Times New Roman" w:hAnsi="Times New Roman"/>
          <w:sz w:val="22"/>
          <w:szCs w:val="22"/>
          <w:color w:val="auto"/>
        </w:rPr>
        <w:t xml:space="preserve">- </w:t>
      </w:r>
      <w:r>
        <w:rPr>
          <w:rFonts w:ascii="Cambria" w:cs="Cambria" w:eastAsia="Cambria" w:hAnsi="Cambria"/>
          <w:sz w:val="22"/>
          <w:szCs w:val="22"/>
          <w:b w:val="1"/>
          <w:bCs w:val="1"/>
          <w:color w:val="auto"/>
        </w:rPr>
        <w:t>DualPak: from</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w:t>
      </w:r>
      <w:r>
        <w:rPr>
          <w:rFonts w:ascii="Times New Roman" w:cs="Times New Roman" w:eastAsia="Times New Roman" w:hAnsi="Times New Roman"/>
          <w:sz w:val="22"/>
          <w:szCs w:val="22"/>
          <w:color w:val="auto"/>
        </w:rPr>
        <w:t xml:space="preserve"> </w:t>
      </w:r>
      <w:r>
        <w:rPr>
          <w:rFonts w:ascii="Cambria" w:cs="Cambria" w:eastAsia="Cambria" w:hAnsi="Cambria"/>
          <w:sz w:val="22"/>
          <w:szCs w:val="22"/>
          <w:b w:val="1"/>
          <w:bCs w:val="1"/>
          <w:color w:val="auto"/>
        </w:rPr>
        <w:t>to</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w:t>
      </w:r>
      <w:r>
        <w:rPr>
          <w:rFonts w:ascii="Cambria" w:cs="Cambria" w:eastAsia="Cambria" w:hAnsi="Cambria"/>
          <w:sz w:val="22"/>
          <w:szCs w:val="22"/>
          <w:b w:val="1"/>
          <w:bCs w:val="1"/>
          <w:color w:val="auto"/>
        </w:rPr>
        <w:t>.</w:t>
      </w:r>
    </w:p>
    <w:p>
      <w:pPr>
        <w:ind w:left="240"/>
        <w:spacing w:after="0"/>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 xml:space="preserve">- </w:t>
      </w:r>
      <w:r>
        <w:rPr>
          <w:rFonts w:ascii="Cambria" w:cs="Cambria" w:eastAsia="Cambria" w:hAnsi="Cambria"/>
          <w:sz w:val="22"/>
          <w:szCs w:val="22"/>
          <w:b w:val="1"/>
          <w:bCs w:val="1"/>
          <w:color w:val="auto"/>
        </w:rPr>
        <w:t>TriplePak: from</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w:t>
      </w:r>
      <w:r>
        <w:rPr>
          <w:rFonts w:ascii="Times New Roman" w:cs="Times New Roman" w:eastAsia="Times New Roman" w:hAnsi="Times New Roman"/>
          <w:sz w:val="22"/>
          <w:szCs w:val="22"/>
          <w:color w:val="auto"/>
        </w:rPr>
        <w:t xml:space="preserve"> </w:t>
      </w:r>
      <w:r>
        <w:rPr>
          <w:rFonts w:ascii="Cambria" w:cs="Cambria" w:eastAsia="Cambria" w:hAnsi="Cambria"/>
          <w:sz w:val="22"/>
          <w:szCs w:val="22"/>
          <w:b w:val="1"/>
          <w:bCs w:val="1"/>
          <w:color w:val="auto"/>
        </w:rPr>
        <w:t>to</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w:t>
      </w:r>
      <w:r>
        <w:rPr>
          <w:rFonts w:ascii="Cambria" w:cs="Cambria" w:eastAsia="Cambria" w:hAnsi="Cambria"/>
          <w:sz w:val="22"/>
          <w:szCs w:val="22"/>
          <w:b w:val="1"/>
          <w:bCs w:val="1"/>
          <w:color w:val="auto"/>
        </w:rPr>
        <w:t>.</w:t>
      </w:r>
    </w:p>
    <w:p>
      <w:pPr>
        <w:spacing w:after="0" w:line="9"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8" w:name="page39"/>
    <w:bookmarkEnd w:id="38"/>
    <w:p>
      <w:pPr>
        <w:spacing w:after="0" w:line="371" w:lineRule="exact"/>
        <w:rPr>
          <w:sz w:val="20"/>
          <w:szCs w:val="20"/>
          <w:color w:val="auto"/>
        </w:rPr>
      </w:pPr>
    </w:p>
    <w:p>
      <w:pPr>
        <w:ind w:right="160"/>
        <w:spacing w:after="0" w:line="236" w:lineRule="auto"/>
        <w:rPr>
          <w:sz w:val="20"/>
          <w:szCs w:val="20"/>
          <w:color w:val="auto"/>
        </w:rPr>
      </w:pPr>
      <w:r>
        <w:rPr>
          <w:rFonts w:ascii="Cambria" w:cs="Cambria" w:eastAsia="Cambria" w:hAnsi="Cambria"/>
          <w:sz w:val="22"/>
          <w:szCs w:val="22"/>
          <w:b w:val="1"/>
          <w:bCs w:val="1"/>
          <w:color w:val="auto"/>
        </w:rPr>
        <w:t>Except as expressly set forth in this Section 1, all other provisions of Section 6 of the Agreement shall remain unchanged.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2. Minimum Purchase Quantity for Calendar Year 2026</w:t>
      </w:r>
    </w:p>
    <w:p>
      <w:pPr>
        <w:spacing w:after="0" w:line="221" w:lineRule="exact"/>
        <w:rPr>
          <w:sz w:val="20"/>
          <w:szCs w:val="20"/>
          <w:color w:val="auto"/>
        </w:rPr>
      </w:pPr>
    </w:p>
    <w:p>
      <w:pPr>
        <w:spacing w:after="0" w:line="236" w:lineRule="auto"/>
        <w:rPr>
          <w:sz w:val="20"/>
          <w:szCs w:val="20"/>
          <w:color w:val="auto"/>
        </w:rPr>
      </w:pPr>
      <w:r>
        <w:rPr>
          <w:rFonts w:ascii="Cambria" w:cs="Cambria" w:eastAsia="Cambria" w:hAnsi="Cambria"/>
          <w:sz w:val="22"/>
          <w:szCs w:val="22"/>
          <w:b w:val="1"/>
          <w:bCs w:val="1"/>
          <w:color w:val="auto"/>
        </w:rPr>
        <w:t>The Parties hereby agree that for the calendar year 2026, the Minimum Purchase Quantity shall be [***] packs cumulatively, i.e. calculated on the combined volume of both Final Products.</w:t>
      </w:r>
    </w:p>
    <w:p>
      <w:pPr>
        <w:spacing w:after="0" w:line="195" w:lineRule="exact"/>
        <w:rPr>
          <w:sz w:val="20"/>
          <w:szCs w:val="20"/>
          <w:color w:val="auto"/>
        </w:rPr>
      </w:pPr>
    </w:p>
    <w:p>
      <w:pPr>
        <w:ind w:right="660"/>
        <w:spacing w:after="0" w:line="250" w:lineRule="auto"/>
        <w:rPr>
          <w:sz w:val="20"/>
          <w:szCs w:val="20"/>
          <w:color w:val="auto"/>
        </w:rPr>
      </w:pPr>
      <w:r>
        <w:rPr>
          <w:rFonts w:ascii="Cambria" w:cs="Cambria" w:eastAsia="Cambria" w:hAnsi="Cambria"/>
          <w:sz w:val="21"/>
          <w:szCs w:val="21"/>
          <w:b w:val="1"/>
          <w:bCs w:val="1"/>
          <w:color w:val="auto"/>
        </w:rPr>
        <w:t xml:space="preserve">The sentence under the table in Section 5.7 of the Agreement shall be amended to read in its entirety as follows: “The Minimum Purchase Quantities for </w:t>
      </w:r>
      <w:r>
        <w:rPr>
          <w:rFonts w:ascii="Cambria" w:cs="Cambria" w:eastAsia="Cambria" w:hAnsi="Cambria"/>
          <w:sz w:val="21"/>
          <w:szCs w:val="21"/>
          <w:i w:val="1"/>
          <w:iCs w:val="1"/>
          <w:color w:val="auto"/>
        </w:rPr>
        <w:t>calendar years after 2026</w:t>
      </w:r>
      <w:r>
        <w:rPr>
          <w:rFonts w:ascii="Cambria" w:cs="Cambria" w:eastAsia="Cambria" w:hAnsi="Cambria"/>
          <w:sz w:val="21"/>
          <w:szCs w:val="21"/>
          <w:b w:val="1"/>
          <w:bCs w:val="1"/>
          <w:color w:val="auto"/>
        </w:rPr>
        <w:t xml:space="preserve"> shall be mutually agreed by the</w:t>
      </w:r>
    </w:p>
    <w:p>
      <w:pPr>
        <w:ind w:right="40"/>
        <w:spacing w:after="0" w:line="237" w:lineRule="auto"/>
        <w:rPr>
          <w:sz w:val="20"/>
          <w:szCs w:val="20"/>
          <w:color w:val="auto"/>
        </w:rPr>
      </w:pPr>
      <w:r>
        <w:rPr>
          <w:rFonts w:ascii="Cambria" w:cs="Cambria" w:eastAsia="Cambria" w:hAnsi="Cambria"/>
          <w:sz w:val="22"/>
          <w:szCs w:val="22"/>
          <w:b w:val="1"/>
          <w:bCs w:val="1"/>
          <w:color w:val="auto"/>
        </w:rPr>
        <w:t>Parties at least [***] prior to the end of the immediately preceding calendar year (by way of example, for the calendar year 2027 the Minimum Purchase Quantities shall be agreed no later than by [***]). In case the Parties fail to reach an agreement by such date, each Party may terminate this Agreement on twenty four (24) months prior written notice.”</w:t>
      </w:r>
    </w:p>
    <w:p>
      <w:pPr>
        <w:spacing w:after="0" w:line="183" w:lineRule="exact"/>
        <w:rPr>
          <w:sz w:val="20"/>
          <w:szCs w:val="20"/>
          <w:color w:val="auto"/>
        </w:rPr>
      </w:pPr>
    </w:p>
    <w:p>
      <w:pPr>
        <w:ind w:right="40"/>
        <w:spacing w:after="0" w:line="237" w:lineRule="auto"/>
        <w:rPr>
          <w:sz w:val="20"/>
          <w:szCs w:val="20"/>
          <w:color w:val="auto"/>
        </w:rPr>
      </w:pPr>
      <w:r>
        <w:rPr>
          <w:rFonts w:ascii="Cambria" w:cs="Cambria" w:eastAsia="Cambria" w:hAnsi="Cambria"/>
          <w:sz w:val="22"/>
          <w:szCs w:val="22"/>
          <w:b w:val="1"/>
          <w:bCs w:val="1"/>
          <w:color w:val="auto"/>
        </w:rPr>
        <w:t>For the avoidance of doubt, except as expressly set forth in this Second Amendment, nothing herein shall be deemed to otherwise modify or affect the Parties’ respective rights and obligations under Section 5.7 of the Agreement. The agreement of the Parties as to the terms which will satisfy in full Customer’s obligation under Section</w:t>
      </w:r>
    </w:p>
    <w:p>
      <w:pPr>
        <w:spacing w:after="0" w:line="1"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5.7 of the Agreement for Launch Year 2 is set forth in Section 3 of this Second Amendment.</w:t>
      </w:r>
    </w:p>
    <w:p>
      <w:pPr>
        <w:spacing w:after="0" w:line="174"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3. Take-or-Pay Obligation for Calendar Year 2025</w:t>
      </w:r>
    </w:p>
    <w:p>
      <w:pPr>
        <w:spacing w:after="0" w:line="221" w:lineRule="exact"/>
        <w:rPr>
          <w:sz w:val="20"/>
          <w:szCs w:val="20"/>
          <w:color w:val="auto"/>
        </w:rPr>
      </w:pPr>
    </w:p>
    <w:p>
      <w:pPr>
        <w:ind w:right="120"/>
        <w:spacing w:after="0" w:line="237" w:lineRule="auto"/>
        <w:rPr>
          <w:sz w:val="20"/>
          <w:szCs w:val="20"/>
          <w:color w:val="auto"/>
        </w:rPr>
      </w:pPr>
      <w:r>
        <w:rPr>
          <w:rFonts w:ascii="Cambria" w:cs="Cambria" w:eastAsia="Cambria" w:hAnsi="Cambria"/>
          <w:sz w:val="22"/>
          <w:szCs w:val="22"/>
          <w:b w:val="1"/>
          <w:bCs w:val="1"/>
          <w:color w:val="auto"/>
        </w:rPr>
        <w:t>As a condition to Supplier’s agreement to enter into this Second Amendment, Customer agrees to satisfy its take-or-pay payment obligation under Section 5.7 of the Agreement for Launch Year 2 by paying Supplier the total amount of [***]. The payment shall be made in accordance with Section 6.4 of the Agreement.</w:t>
      </w:r>
    </w:p>
    <w:p>
      <w:pPr>
        <w:spacing w:after="0" w:line="194" w:lineRule="exact"/>
        <w:rPr>
          <w:sz w:val="20"/>
          <w:szCs w:val="20"/>
          <w:color w:val="auto"/>
        </w:rPr>
      </w:pPr>
    </w:p>
    <w:p>
      <w:pPr>
        <w:ind w:right="180"/>
        <w:spacing w:after="0" w:line="237" w:lineRule="auto"/>
        <w:rPr>
          <w:sz w:val="20"/>
          <w:szCs w:val="20"/>
          <w:color w:val="auto"/>
        </w:rPr>
      </w:pPr>
      <w:r>
        <w:rPr>
          <w:rFonts w:ascii="Cambria" w:cs="Cambria" w:eastAsia="Cambria" w:hAnsi="Cambria"/>
          <w:sz w:val="22"/>
          <w:szCs w:val="22"/>
          <w:b w:val="1"/>
          <w:bCs w:val="1"/>
          <w:color w:val="auto"/>
        </w:rPr>
        <w:t>The Parties acknowledge and agree that the foregoing amount is accepted as a final settlement of the amounts due by Customer with respect to the take-or-pay obligation for the Minimum Purchase Quantity for Launch Year 2 under Section 5.7 of the Agreement. The Parties further acknowledge and agree that Customer’s</w:t>
      </w:r>
    </w:p>
    <w:p>
      <w:pPr>
        <w:spacing w:after="0" w:line="88" w:lineRule="exact"/>
        <w:rPr>
          <w:sz w:val="20"/>
          <w:szCs w:val="20"/>
          <w:color w:val="auto"/>
        </w:rPr>
      </w:pPr>
    </w:p>
    <w:p>
      <w:pPr>
        <w:ind w:right="740"/>
        <w:spacing w:after="0" w:line="236" w:lineRule="auto"/>
        <w:rPr>
          <w:sz w:val="20"/>
          <w:szCs w:val="20"/>
          <w:color w:val="auto"/>
        </w:rPr>
      </w:pPr>
      <w:r>
        <w:rPr>
          <w:rFonts w:ascii="Cambria" w:cs="Cambria" w:eastAsia="Cambria" w:hAnsi="Cambria"/>
          <w:sz w:val="22"/>
          <w:szCs w:val="22"/>
          <w:b w:val="1"/>
          <w:bCs w:val="1"/>
          <w:color w:val="auto"/>
        </w:rPr>
        <w:t>obligations under Section 5.7 with respect to the Minimum Purchase Quantity obligation for Launch Year 1 have been previously satisfied by Customer.</w:t>
      </w:r>
    </w:p>
    <w:p>
      <w:pPr>
        <w:spacing w:after="0" w:line="175"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4. No Further Amendments</w:t>
      </w:r>
    </w:p>
    <w:p>
      <w:pPr>
        <w:spacing w:after="0" w:line="221" w:lineRule="exact"/>
        <w:rPr>
          <w:sz w:val="20"/>
          <w:szCs w:val="20"/>
          <w:color w:val="auto"/>
        </w:rPr>
      </w:pPr>
    </w:p>
    <w:p>
      <w:pPr>
        <w:jc w:val="both"/>
        <w:ind w:right="660"/>
        <w:spacing w:after="0" w:line="237" w:lineRule="auto"/>
        <w:rPr>
          <w:sz w:val="20"/>
          <w:szCs w:val="20"/>
          <w:color w:val="auto"/>
        </w:rPr>
      </w:pPr>
      <w:r>
        <w:rPr>
          <w:rFonts w:ascii="Cambria" w:cs="Cambria" w:eastAsia="Cambria" w:hAnsi="Cambria"/>
          <w:sz w:val="22"/>
          <w:szCs w:val="22"/>
          <w:b w:val="1"/>
          <w:bCs w:val="1"/>
          <w:color w:val="auto"/>
        </w:rPr>
        <w:t>Except as expressly amended by this Second Amendment, the Agreement shall remain in full force and effect in accordance with its terms. In the event of any conflict between this Second Amendment and the Agreement, the terms of this Second Amendment shall prevail.</w:t>
      </w:r>
    </w:p>
    <w:p>
      <w:pPr>
        <w:spacing w:after="0" w:line="5" w:lineRule="exact"/>
        <w:rPr>
          <w:sz w:val="20"/>
          <w:szCs w:val="20"/>
          <w:color w:val="auto"/>
        </w:rPr>
      </w:pPr>
    </w:p>
    <w:p>
      <w:pPr>
        <w:jc w:val="center"/>
        <w:ind w:right="-379"/>
        <w:spacing w:after="0"/>
        <w:rPr>
          <w:sz w:val="20"/>
          <w:szCs w:val="20"/>
          <w:color w:val="auto"/>
        </w:rPr>
      </w:pPr>
      <w:r>
        <w:rPr>
          <w:rFonts w:ascii="Cambria" w:cs="Cambria" w:eastAsia="Cambria" w:hAnsi="Cambria"/>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39" w:name="page40"/>
    <w:bookmarkEnd w:id="39"/>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5. Governing Law &amp; Jurisdiction</w:t>
      </w:r>
    </w:p>
    <w:p>
      <w:pPr>
        <w:spacing w:after="0" w:line="221" w:lineRule="exact"/>
        <w:rPr>
          <w:sz w:val="20"/>
          <w:szCs w:val="20"/>
          <w:color w:val="auto"/>
        </w:rPr>
      </w:pPr>
    </w:p>
    <w:p>
      <w:pPr>
        <w:ind w:right="1420"/>
        <w:spacing w:after="0" w:line="236" w:lineRule="auto"/>
        <w:rPr>
          <w:sz w:val="20"/>
          <w:szCs w:val="20"/>
          <w:color w:val="auto"/>
        </w:rPr>
      </w:pPr>
      <w:r>
        <w:rPr>
          <w:rFonts w:ascii="Cambria" w:cs="Cambria" w:eastAsia="Cambria" w:hAnsi="Cambria"/>
          <w:sz w:val="22"/>
          <w:szCs w:val="22"/>
          <w:b w:val="1"/>
          <w:bCs w:val="1"/>
          <w:color w:val="auto"/>
        </w:rPr>
        <w:t>This Second Amendment shall be governed by and construed in accordance with Section 14.1 of the Agreement. The Jurisdiction clause of Section 14.2 applies also to this Second Amendment.</w:t>
      </w:r>
    </w:p>
    <w:p>
      <w:pPr>
        <w:spacing w:after="0" w:line="175"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6. Counterparts</w:t>
      </w:r>
    </w:p>
    <w:p>
      <w:pPr>
        <w:spacing w:after="0" w:line="221" w:lineRule="exact"/>
        <w:rPr>
          <w:sz w:val="20"/>
          <w:szCs w:val="20"/>
          <w:color w:val="auto"/>
        </w:rPr>
      </w:pPr>
    </w:p>
    <w:p>
      <w:pPr>
        <w:jc w:val="both"/>
        <w:ind w:right="580"/>
        <w:spacing w:after="0" w:line="237" w:lineRule="auto"/>
        <w:rPr>
          <w:sz w:val="20"/>
          <w:szCs w:val="20"/>
          <w:color w:val="auto"/>
        </w:rPr>
      </w:pPr>
      <w:r>
        <w:rPr>
          <w:rFonts w:ascii="Cambria" w:cs="Cambria" w:eastAsia="Cambria" w:hAnsi="Cambria"/>
          <w:sz w:val="22"/>
          <w:szCs w:val="22"/>
          <w:b w:val="1"/>
          <w:bCs w:val="1"/>
          <w:color w:val="auto"/>
        </w:rPr>
        <w:t>This Second Amendment may be executed in any number of counterparts, each of which shall be deemed an original, and all of which together shall constitute one and the same instrument. Electronic signatures shall have the same force and effect as original signatures.</w:t>
      </w:r>
    </w:p>
    <w:p>
      <w:pPr>
        <w:spacing w:after="0" w:line="194" w:lineRule="exact"/>
        <w:rPr>
          <w:sz w:val="20"/>
          <w:szCs w:val="20"/>
          <w:color w:val="auto"/>
        </w:rPr>
      </w:pPr>
    </w:p>
    <w:p>
      <w:pPr>
        <w:ind w:right="1300"/>
        <w:spacing w:after="0" w:line="236" w:lineRule="auto"/>
        <w:rPr>
          <w:sz w:val="20"/>
          <w:szCs w:val="20"/>
          <w:color w:val="auto"/>
        </w:rPr>
      </w:pPr>
      <w:r>
        <w:rPr>
          <w:rFonts w:ascii="Cambria" w:cs="Cambria" w:eastAsia="Cambria" w:hAnsi="Cambria"/>
          <w:sz w:val="22"/>
          <w:szCs w:val="22"/>
          <w:b w:val="1"/>
          <w:bCs w:val="1"/>
          <w:color w:val="auto"/>
        </w:rPr>
        <w:t>IN WITNESS WHEREOF, the Parties have caused this Second Amendment to be executed by their duly authorized representatives as of the Amendment Effective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Sandoz GmbH</w:t>
            </w:r>
          </w:p>
        </w:tc>
        <w:tc>
          <w:tcPr>
            <w:tcW w:w="8460" w:type="dxa"/>
            <w:vAlign w:val="bottom"/>
            <w:gridSpan w:val="5"/>
          </w:tcPr>
          <w:p>
            <w:pPr>
              <w:ind w:left="20"/>
              <w:spacing w:after="0"/>
              <w:rPr>
                <w:sz w:val="20"/>
                <w:szCs w:val="20"/>
                <w:color w:val="auto"/>
              </w:rPr>
            </w:pPr>
            <w:r>
              <w:rPr>
                <w:rFonts w:ascii="Cambria" w:cs="Cambria" w:eastAsia="Cambria" w:hAnsi="Cambria"/>
                <w:sz w:val="18"/>
                <w:szCs w:val="18"/>
                <w:b w:val="1"/>
                <w:bCs w:val="1"/>
                <w:color w:val="auto"/>
              </w:rPr>
              <w:t>Phathom Pharmaceuticals, Inc.</w:t>
            </w:r>
          </w:p>
        </w:tc>
      </w:tr>
      <w:tr>
        <w:trPr>
          <w:trHeight w:val="286"/>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By: /s/Markus Rupprechter</w:t>
            </w:r>
          </w:p>
        </w:tc>
        <w:tc>
          <w:tcPr>
            <w:tcW w:w="300" w:type="dxa"/>
            <w:vAlign w:val="bottom"/>
          </w:tcPr>
          <w:p>
            <w:pPr>
              <w:spacing w:after="0"/>
              <w:rPr>
                <w:sz w:val="24"/>
                <w:szCs w:val="24"/>
                <w:color w:val="auto"/>
              </w:rPr>
            </w:pPr>
          </w:p>
        </w:tc>
        <w:tc>
          <w:tcPr>
            <w:tcW w:w="8160" w:type="dxa"/>
            <w:vAlign w:val="bottom"/>
            <w:gridSpan w:val="4"/>
          </w:tcPr>
          <w:p>
            <w:pPr>
              <w:ind w:left="320"/>
              <w:spacing w:after="0"/>
              <w:rPr>
                <w:sz w:val="20"/>
                <w:szCs w:val="20"/>
                <w:color w:val="auto"/>
              </w:rPr>
            </w:pPr>
            <w:r>
              <w:rPr>
                <w:rFonts w:ascii="Cambria" w:cs="Cambria" w:eastAsia="Cambria" w:hAnsi="Cambria"/>
                <w:sz w:val="18"/>
                <w:szCs w:val="18"/>
                <w:b w:val="1"/>
                <w:bCs w:val="1"/>
                <w:color w:val="auto"/>
              </w:rPr>
              <w:t>By: /s/Steven Basta</w:t>
            </w:r>
          </w:p>
        </w:tc>
      </w:tr>
      <w:tr>
        <w:trPr>
          <w:trHeight w:val="20"/>
        </w:trPr>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248"/>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Name: Markus Rupprechter</w:t>
            </w:r>
          </w:p>
        </w:tc>
        <w:tc>
          <w:tcPr>
            <w:tcW w:w="300" w:type="dxa"/>
            <w:vAlign w:val="bottom"/>
          </w:tcPr>
          <w:p>
            <w:pPr>
              <w:spacing w:after="0"/>
              <w:rPr>
                <w:sz w:val="21"/>
                <w:szCs w:val="21"/>
                <w:color w:val="auto"/>
              </w:rPr>
            </w:pPr>
          </w:p>
        </w:tc>
        <w:tc>
          <w:tcPr>
            <w:tcW w:w="8160" w:type="dxa"/>
            <w:vAlign w:val="bottom"/>
            <w:gridSpan w:val="4"/>
          </w:tcPr>
          <w:p>
            <w:pPr>
              <w:ind w:left="320"/>
              <w:spacing w:after="0"/>
              <w:rPr>
                <w:sz w:val="20"/>
                <w:szCs w:val="20"/>
                <w:color w:val="auto"/>
              </w:rPr>
            </w:pPr>
            <w:r>
              <w:rPr>
                <w:rFonts w:ascii="Cambria" w:cs="Cambria" w:eastAsia="Cambria" w:hAnsi="Cambria"/>
                <w:sz w:val="18"/>
                <w:szCs w:val="18"/>
                <w:b w:val="1"/>
                <w:bCs w:val="1"/>
                <w:color w:val="auto"/>
              </w:rPr>
              <w:t>Name: Steven Basta</w:t>
            </w:r>
          </w:p>
        </w:tc>
      </w:tr>
      <w:tr>
        <w:trPr>
          <w:trHeight w:val="243"/>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w w:val="97"/>
              </w:rPr>
              <w:t>Title: Head of Operations AI &amp; B2B</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540" w:type="dxa"/>
            <w:vAlign w:val="bottom"/>
            <w:gridSpan w:val="3"/>
          </w:tcPr>
          <w:p>
            <w:pPr>
              <w:ind w:left="20"/>
              <w:spacing w:after="0"/>
              <w:rPr>
                <w:sz w:val="20"/>
                <w:szCs w:val="20"/>
                <w:color w:val="auto"/>
              </w:rPr>
            </w:pPr>
            <w:r>
              <w:rPr>
                <w:rFonts w:ascii="Cambria" w:cs="Cambria" w:eastAsia="Cambria" w:hAnsi="Cambria"/>
                <w:sz w:val="18"/>
                <w:szCs w:val="18"/>
                <w:b w:val="1"/>
                <w:bCs w:val="1"/>
                <w:color w:val="auto"/>
              </w:rPr>
              <w:t>Title: CEO</w:t>
            </w:r>
          </w:p>
        </w:tc>
      </w:tr>
      <w:tr>
        <w:trPr>
          <w:trHeight w:val="216"/>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Date: 31-Mar-2026</w:t>
            </w:r>
          </w:p>
        </w:tc>
        <w:tc>
          <w:tcPr>
            <w:tcW w:w="300" w:type="dxa"/>
            <w:vAlign w:val="bottom"/>
          </w:tcPr>
          <w:p>
            <w:pPr>
              <w:spacing w:after="0"/>
              <w:rPr>
                <w:sz w:val="18"/>
                <w:szCs w:val="18"/>
                <w:color w:val="auto"/>
              </w:rPr>
            </w:pPr>
          </w:p>
        </w:tc>
        <w:tc>
          <w:tcPr>
            <w:tcW w:w="8160" w:type="dxa"/>
            <w:vAlign w:val="bottom"/>
            <w:gridSpan w:val="4"/>
          </w:tcPr>
          <w:p>
            <w:pPr>
              <w:ind w:left="160"/>
              <w:spacing w:after="0"/>
              <w:rPr>
                <w:sz w:val="20"/>
                <w:szCs w:val="20"/>
                <w:color w:val="auto"/>
              </w:rPr>
            </w:pPr>
            <w:r>
              <w:rPr>
                <w:rFonts w:ascii="Cambria" w:cs="Cambria" w:eastAsia="Cambria" w:hAnsi="Cambria"/>
                <w:sz w:val="18"/>
                <w:szCs w:val="18"/>
                <w:b w:val="1"/>
                <w:bCs w:val="1"/>
                <w:color w:val="auto"/>
              </w:rPr>
              <w:t>Date: 30-Mar-2026</w:t>
            </w:r>
          </w:p>
        </w:tc>
      </w:tr>
      <w:tr>
        <w:trPr>
          <w:trHeight w:val="553"/>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Sandoz GmbH</w:t>
            </w:r>
          </w:p>
        </w:tc>
        <w:tc>
          <w:tcPr>
            <w:tcW w:w="8460" w:type="dxa"/>
            <w:vAlign w:val="bottom"/>
            <w:gridSpan w:val="5"/>
          </w:tcPr>
          <w:p>
            <w:pPr>
              <w:ind w:left="20"/>
              <w:spacing w:after="0"/>
              <w:rPr>
                <w:sz w:val="20"/>
                <w:szCs w:val="20"/>
                <w:color w:val="auto"/>
              </w:rPr>
            </w:pPr>
            <w:r>
              <w:rPr>
                <w:rFonts w:ascii="Cambria" w:cs="Cambria" w:eastAsia="Cambria" w:hAnsi="Cambria"/>
                <w:sz w:val="18"/>
                <w:szCs w:val="18"/>
                <w:b w:val="1"/>
                <w:bCs w:val="1"/>
                <w:color w:val="auto"/>
              </w:rPr>
              <w:t>Phathom Pharmaceuticals, Inc.</w:t>
            </w:r>
          </w:p>
        </w:tc>
      </w:tr>
      <w:tr>
        <w:trPr>
          <w:trHeight w:val="286"/>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By: /s/Yeliz Uncu</w:t>
            </w:r>
          </w:p>
        </w:tc>
        <w:tc>
          <w:tcPr>
            <w:tcW w:w="8460" w:type="dxa"/>
            <w:vAlign w:val="bottom"/>
            <w:gridSpan w:val="5"/>
          </w:tcPr>
          <w:p>
            <w:pPr>
              <w:ind w:left="20"/>
              <w:spacing w:after="0"/>
              <w:rPr>
                <w:sz w:val="20"/>
                <w:szCs w:val="20"/>
                <w:color w:val="auto"/>
              </w:rPr>
            </w:pPr>
            <w:r>
              <w:rPr>
                <w:rFonts w:ascii="Cambria" w:cs="Cambria" w:eastAsia="Cambria" w:hAnsi="Cambria"/>
                <w:sz w:val="18"/>
                <w:szCs w:val="18"/>
                <w:b w:val="1"/>
                <w:bCs w:val="1"/>
                <w:color w:val="auto"/>
              </w:rPr>
              <w:t>By: /s/Jay Buchanan</w:t>
            </w:r>
          </w:p>
        </w:tc>
      </w:tr>
      <w:tr>
        <w:trPr>
          <w:trHeight w:val="20"/>
        </w:trPr>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r>
      <w:tr>
        <w:trPr>
          <w:trHeight w:val="261"/>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Name: Yeliz Uncu</w:t>
            </w:r>
          </w:p>
        </w:tc>
        <w:tc>
          <w:tcPr>
            <w:tcW w:w="8460" w:type="dxa"/>
            <w:vAlign w:val="bottom"/>
            <w:gridSpan w:val="5"/>
          </w:tcPr>
          <w:p>
            <w:pPr>
              <w:ind w:left="20"/>
              <w:spacing w:after="0"/>
              <w:rPr>
                <w:sz w:val="20"/>
                <w:szCs w:val="20"/>
                <w:color w:val="auto"/>
              </w:rPr>
            </w:pPr>
            <w:r>
              <w:rPr>
                <w:rFonts w:ascii="Cambria" w:cs="Cambria" w:eastAsia="Cambria" w:hAnsi="Cambria"/>
                <w:sz w:val="18"/>
                <w:szCs w:val="18"/>
                <w:b w:val="1"/>
                <w:bCs w:val="1"/>
                <w:color w:val="auto"/>
              </w:rPr>
              <w:t>Name: Jay Buchanan</w:t>
            </w:r>
          </w:p>
        </w:tc>
      </w:tr>
      <w:tr>
        <w:trPr>
          <w:trHeight w:val="243"/>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Title: Sales Director B2B, FDF NA</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540" w:type="dxa"/>
            <w:vAlign w:val="bottom"/>
            <w:gridSpan w:val="3"/>
          </w:tcPr>
          <w:p>
            <w:pPr>
              <w:ind w:left="20"/>
              <w:spacing w:after="0"/>
              <w:rPr>
                <w:sz w:val="20"/>
                <w:szCs w:val="20"/>
                <w:color w:val="auto"/>
              </w:rPr>
            </w:pPr>
            <w:r>
              <w:rPr>
                <w:rFonts w:ascii="Cambria" w:cs="Cambria" w:eastAsia="Cambria" w:hAnsi="Cambria"/>
                <w:sz w:val="18"/>
                <w:szCs w:val="18"/>
                <w:b w:val="1"/>
                <w:bCs w:val="1"/>
                <w:color w:val="auto"/>
              </w:rPr>
              <w:t>Title: SVP Manufacturing &amp; Supply Chain</w:t>
            </w:r>
          </w:p>
        </w:tc>
      </w:tr>
      <w:tr>
        <w:trPr>
          <w:trHeight w:val="230"/>
        </w:trPr>
        <w:tc>
          <w:tcPr>
            <w:tcW w:w="2780" w:type="dxa"/>
            <w:vAlign w:val="bottom"/>
            <w:gridSpan w:val="4"/>
          </w:tcPr>
          <w:p>
            <w:pPr>
              <w:spacing w:after="0"/>
              <w:rPr>
                <w:sz w:val="20"/>
                <w:szCs w:val="20"/>
                <w:color w:val="auto"/>
              </w:rPr>
            </w:pPr>
            <w:r>
              <w:rPr>
                <w:rFonts w:ascii="Cambria" w:cs="Cambria" w:eastAsia="Cambria" w:hAnsi="Cambria"/>
                <w:sz w:val="18"/>
                <w:szCs w:val="18"/>
                <w:b w:val="1"/>
                <w:bCs w:val="1"/>
                <w:color w:val="auto"/>
              </w:rPr>
              <w:t>Date: 30-Mar-2026</w:t>
            </w:r>
          </w:p>
        </w:tc>
        <w:tc>
          <w:tcPr>
            <w:tcW w:w="300" w:type="dxa"/>
            <w:vAlign w:val="bottom"/>
          </w:tcPr>
          <w:p>
            <w:pPr>
              <w:spacing w:after="0"/>
              <w:rPr>
                <w:sz w:val="19"/>
                <w:szCs w:val="19"/>
                <w:color w:val="auto"/>
              </w:rPr>
            </w:pPr>
          </w:p>
        </w:tc>
        <w:tc>
          <w:tcPr>
            <w:tcW w:w="8160" w:type="dxa"/>
            <w:vAlign w:val="bottom"/>
            <w:gridSpan w:val="4"/>
          </w:tcPr>
          <w:p>
            <w:pPr>
              <w:ind w:left="20"/>
              <w:spacing w:after="0"/>
              <w:rPr>
                <w:sz w:val="20"/>
                <w:szCs w:val="20"/>
                <w:color w:val="auto"/>
              </w:rPr>
            </w:pPr>
            <w:r>
              <w:rPr>
                <w:rFonts w:ascii="Cambria" w:cs="Cambria" w:eastAsia="Cambria" w:hAnsi="Cambria"/>
                <w:sz w:val="18"/>
                <w:szCs w:val="18"/>
                <w:b w:val="1"/>
                <w:bCs w:val="1"/>
                <w:color w:val="auto"/>
              </w:rPr>
              <w:t>Date: 27-Mar-2026</w:t>
            </w:r>
          </w:p>
        </w:tc>
      </w:tr>
      <w:tr>
        <w:trPr>
          <w:trHeight w:val="234"/>
        </w:trPr>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60" w:type="dxa"/>
            <w:vAlign w:val="bottom"/>
            <w:gridSpan w:val="5"/>
          </w:tcPr>
          <w:p>
            <w:pPr>
              <w:ind w:left="2780"/>
              <w:spacing w:after="0"/>
              <w:rPr>
                <w:sz w:val="20"/>
                <w:szCs w:val="20"/>
                <w:color w:val="auto"/>
              </w:rPr>
            </w:pPr>
            <w:r>
              <w:rPr>
                <w:rFonts w:ascii="Cambria" w:cs="Cambria" w:eastAsia="Cambria" w:hAnsi="Cambria"/>
                <w:sz w:val="20"/>
                <w:szCs w:val="20"/>
                <w:b w:val="1"/>
                <w:bCs w:val="1"/>
                <w:color w:val="auto"/>
              </w:rPr>
              <w:t>3</w:t>
            </w:r>
          </w:p>
        </w:tc>
      </w:tr>
      <w:tr>
        <w:trPr>
          <w:trHeight w:val="370"/>
        </w:trPr>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NON-EMPLOYEE DIRECTOR COMPENSATION PROGRAM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AS OF JANUARY 1, 2026)</w:t>
      </w:r>
    </w:p>
    <w:p>
      <w:pPr>
        <w:spacing w:after="0" w:line="22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receive cash and equity compensation as set forth in this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This Program has been adopted under the Company’s 2019 Incentive Award Plan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shall be effective on the Effective Date. Except as provided herein,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Capitalized terms not otherwise defined herein shall have the meanings ascribed in the Equity Plan.</w:t>
      </w:r>
    </w:p>
    <w:p>
      <w:pPr>
        <w:spacing w:after="0" w:line="194" w:lineRule="exact"/>
        <w:rPr>
          <w:sz w:val="20"/>
          <w:szCs w:val="20"/>
          <w:color w:val="auto"/>
        </w:rPr>
      </w:pPr>
    </w:p>
    <w:p>
      <w:pPr>
        <w:ind w:left="1160" w:hanging="403"/>
        <w:spacing w:after="0"/>
        <w:tabs>
          <w:tab w:leader="none" w:pos="11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33" w:lineRule="auto"/>
        <w:tabs>
          <w:tab w:leader="none" w:pos="189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Non-Employee Director shall receive an annual retainer of $50,000 for service on the Board (the “</w:t>
      </w:r>
      <w:r>
        <w:rPr>
          <w:rFonts w:ascii="Times New Roman" w:cs="Times New Roman" w:eastAsia="Times New Roman" w:hAnsi="Times New Roman"/>
          <w:sz w:val="20"/>
          <w:szCs w:val="20"/>
          <w:b w:val="1"/>
          <w:bCs w:val="1"/>
          <w:i w:val="1"/>
          <w:iCs w:val="1"/>
          <w:color w:val="auto"/>
        </w:rPr>
        <w:t>Annual Retainer</w:t>
      </w:r>
      <w:r>
        <w:rPr>
          <w:rFonts w:ascii="Times New Roman" w:cs="Times New Roman" w:eastAsia="Times New Roman" w:hAnsi="Times New Roman"/>
          <w:sz w:val="20"/>
          <w:szCs w:val="20"/>
          <w:color w:val="auto"/>
        </w:rPr>
        <w:t>”). Notwithstanding the foregoing, the Annual Retainer that each Non-Employee Director shall be entitled to receive shall not exceed the 70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of the annual cash retainers paid by members of the Company’s then-applicable peer group approved by the Board used for purposes of assessing the Company’s non-employee director compensation (the “</w:t>
      </w:r>
      <w:r>
        <w:rPr>
          <w:rFonts w:ascii="Times New Roman" w:cs="Times New Roman" w:eastAsia="Times New Roman" w:hAnsi="Times New Roman"/>
          <w:sz w:val="20"/>
          <w:szCs w:val="20"/>
          <w:b w:val="1"/>
          <w:bCs w:val="1"/>
          <w:i w:val="1"/>
          <w:iCs w:val="1"/>
          <w:color w:val="auto"/>
        </w:rPr>
        <w:t>Peer Group</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In addition, each Non-Employee Director shall receive the following additional annual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retainers, as applicable:</w:t>
      </w:r>
    </w:p>
    <w:p>
      <w:pPr>
        <w:spacing w:after="0" w:line="193" w:lineRule="exact"/>
        <w:rPr>
          <w:rFonts w:ascii="Times New Roman" w:cs="Times New Roman" w:eastAsia="Times New Roman" w:hAnsi="Times New Roman"/>
          <w:sz w:val="20"/>
          <w:szCs w:val="20"/>
          <w:color w:val="auto"/>
        </w:rPr>
      </w:pPr>
    </w:p>
    <w:p>
      <w:pPr>
        <w:ind w:right="20" w:firstLine="2310"/>
        <w:spacing w:after="0" w:line="269" w:lineRule="auto"/>
        <w:tabs>
          <w:tab w:leader="none" w:pos="2655"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Chairperson of the Board</w:t>
      </w:r>
      <w:r>
        <w:rPr>
          <w:rFonts w:ascii="Times New Roman" w:cs="Times New Roman" w:eastAsia="Times New Roman" w:hAnsi="Times New Roman"/>
          <w:sz w:val="20"/>
          <w:szCs w:val="20"/>
          <w:color w:val="auto"/>
        </w:rPr>
        <w:t>. A Non-Employee Director serving as Chairperson of the Board shall receive an additional annual retainer of $40,000 for such service.</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74"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696" w:val="left"/>
        </w:tabs>
        <w:numPr>
          <w:ilvl w:val="3"/>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spacing w:after="0" w:line="17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55" w:val="left"/>
        </w:tabs>
        <w:numPr>
          <w:ilvl w:val="3"/>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both"/>
        <w:ind w:firstLine="1505"/>
        <w:spacing w:after="0" w:line="245" w:lineRule="auto"/>
        <w:tabs>
          <w:tab w:leader="none" w:pos="189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retainers described in Sections 1(a) and 1(b) shall be earned on a quarterly basis based on a calendar quarter and shall be paid by the Company in arrears on a semi-annual basis not later than the forty-fifth day following the end of every other calendar quarter (i.e., August 15 and February 15).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197" w:lineRule="exact"/>
        <w:rPr>
          <w:rFonts w:ascii="Times New Roman" w:cs="Times New Roman" w:eastAsia="Times New Roman" w:hAnsi="Times New Roman"/>
          <w:sz w:val="20"/>
          <w:szCs w:val="20"/>
          <w:color w:val="auto"/>
        </w:rPr>
      </w:pPr>
    </w:p>
    <w:p>
      <w:pPr>
        <w:jc w:val="both"/>
        <w:ind w:firstLine="757"/>
        <w:spacing w:after="0" w:line="250" w:lineRule="auto"/>
        <w:tabs>
          <w:tab w:leader="none" w:pos="115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Non-Employee Directors shall be granted the equity awards described below. The awards described below shall be granted under and shall be subject to the terms and provisions of the Equity Plan, or any other applicable Company equity incentive plan then-maintained by the Company, and shall be granted subject to the execution and delivery of award agreements in substantially the forms previously approved by the Board. All applicable terms of the Equity Plan apply to this Program as if fully set forth herein, and all equity awards are hereby subject in all respects to the terms of the Equity Plan and the applicable award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48" w:lineRule="auto"/>
        <w:tabs>
          <w:tab w:leader="none" w:pos="1907"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Non-Employee Director who is initially elected or appointed to the Board after the Effective Date shall receive an initial equity award under the Equity Plan in such amount(s) and on such terms as authorized by the Board, which equity award shall be granted on the date of such initial election or appointment. The awards described in this Section 2(a) shall be referred to as “</w:t>
      </w:r>
      <w:r>
        <w:rPr>
          <w:rFonts w:ascii="Times New Roman" w:cs="Times New Roman" w:eastAsia="Times New Roman" w:hAnsi="Times New Roman"/>
          <w:sz w:val="20"/>
          <w:szCs w:val="20"/>
          <w:b w:val="1"/>
          <w:bCs w:val="1"/>
          <w:i w:val="1"/>
          <w:iCs w:val="1"/>
          <w:color w:val="auto"/>
        </w:rPr>
        <w:t>Initial Awards</w:t>
      </w:r>
      <w:r>
        <w:rPr>
          <w:rFonts w:ascii="Times New Roman" w:cs="Times New Roman" w:eastAsia="Times New Roman" w:hAnsi="Times New Roman"/>
          <w:sz w:val="20"/>
          <w:szCs w:val="20"/>
          <w:color w:val="auto"/>
        </w:rPr>
        <w:t>.” Notwithstanding the foregoing, the value of any Initial Award granted to a Non-Employee Director shall not, as of the date of the approval of the grant, exceed two times (2x) the value of the Subsequent Awards (as defined below) most recently granted to the Company’s incumbent Non-Employee Directors. No Non-Employee Director shall be granted more than one Initial Award.</w:t>
      </w:r>
    </w:p>
    <w:p>
      <w:pPr>
        <w:spacing w:after="0" w:line="180" w:lineRule="exact"/>
        <w:rPr>
          <w:rFonts w:ascii="Times New Roman" w:cs="Times New Roman" w:eastAsia="Times New Roman" w:hAnsi="Times New Roman"/>
          <w:sz w:val="20"/>
          <w:szCs w:val="20"/>
          <w:color w:val="auto"/>
        </w:rPr>
      </w:pPr>
    </w:p>
    <w:p>
      <w:pPr>
        <w:jc w:val="both"/>
        <w:ind w:firstLine="1505"/>
        <w:spacing w:after="0" w:line="236" w:lineRule="auto"/>
        <w:tabs>
          <w:tab w:leader="none" w:pos="189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Awards</w:t>
      </w:r>
      <w:r>
        <w:rPr>
          <w:rFonts w:ascii="Times New Roman" w:cs="Times New Roman" w:eastAsia="Times New Roman" w:hAnsi="Times New Roman"/>
          <w:sz w:val="20"/>
          <w:szCs w:val="20"/>
          <w:color w:val="auto"/>
        </w:rPr>
        <w:t>. A Non-Employee Director who (i) is serving on the Board as of the date of any annual meeting of the Company’s stockholders after the Effective Date and has been serving as a Non-Employee Director for at least six months as of the date of such meeting, and (ii) will continue to serve as a Non-Employee Director immediately following such meeting, shall be granted an annual equity award under the Equity Plan in such amount(s) and on such terms as authorized by the Board, which equity award shall be granted on the date of such annual meeting. The awards described in this Section 2(b) shall be referred to as “</w:t>
      </w:r>
      <w:r>
        <w:rPr>
          <w:rFonts w:ascii="Times New Roman" w:cs="Times New Roman" w:eastAsia="Times New Roman" w:hAnsi="Times New Roman"/>
          <w:sz w:val="20"/>
          <w:szCs w:val="20"/>
          <w:b w:val="1"/>
          <w:bCs w:val="1"/>
          <w:i w:val="1"/>
          <w:iCs w:val="1"/>
          <w:color w:val="auto"/>
        </w:rPr>
        <w:t>Subsequent Awards</w:t>
      </w:r>
      <w:r>
        <w:rPr>
          <w:rFonts w:ascii="Times New Roman" w:cs="Times New Roman" w:eastAsia="Times New Roman" w:hAnsi="Times New Roman"/>
          <w:sz w:val="20"/>
          <w:szCs w:val="20"/>
          <w:color w:val="auto"/>
        </w:rPr>
        <w:t>.” Notwithstanding the foregoing, the value of any Subsequent Award granted to each Non-Employee Director shall not, as of the date of the approval of the grant, exceed the 70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of the value of annual equity compensation granted to non-employee directors of the Peer Group.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208"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of Employee Directors</w:t>
      </w:r>
      <w:r>
        <w:rPr>
          <w:rFonts w:ascii="Times New Roman" w:cs="Times New Roman" w:eastAsia="Times New Roman" w:hAnsi="Times New Roman"/>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2(a) above, but to the extent that they are otherwise entitled, will receive, after termination from employment with the Company and any parent or subsidiary of the Company, Subsequent Awards as described in Section 2(b) above.</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Awards Granted to Non-Employee Directors</w:t>
      </w:r>
    </w:p>
    <w:p>
      <w:pPr>
        <w:spacing w:after="0" w:line="215" w:lineRule="exact"/>
        <w:rPr>
          <w:rFonts w:ascii="Times New Roman" w:cs="Times New Roman" w:eastAsia="Times New Roman" w:hAnsi="Times New Roman"/>
          <w:sz w:val="20"/>
          <w:szCs w:val="20"/>
          <w:color w:val="auto"/>
        </w:rPr>
      </w:pPr>
    </w:p>
    <w:p>
      <w:pPr>
        <w:ind w:firstLine="1548"/>
        <w:spacing w:after="0" w:line="269" w:lineRule="auto"/>
        <w:tabs>
          <w:tab w:leader="none" w:pos="1990"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per share exercise price of each stock option granted to a Non-Employee Director shall equal the Fair Market Value of a share of common stock on the date the stock option is granted.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1548"/>
        <w:spacing w:after="0" w:line="242" w:lineRule="auto"/>
        <w:tabs>
          <w:tab w:leader="none" w:pos="2057"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Unless otherwise determined by the Board, one-third of each Initial Award shall vest and become exercisable on the one (1)-year anniversary of the date of grant, and the remainder will vest in substantially equal quarterly installments over the twenty-four (24) months thereafter, subject to the Non-Employee Director continuing in service on the Board through each such vesting date. Each Subsequent Award shall vest and/or become exercisable on the first to occur of (A) the first anniversary of the date of grant or (B) the next occurring annual meeting of the Company's stockholders, subject to the Non-Employee Director continuing in service on the Board through such vesting date. Unless the Board otherwise determines, no portion of an Initial Award or Subsequent Award which is unvested and/or not exercisable at the time of a Non-Employee Director’s termination of service on the Board shall become vested and/or exercisable thereafter. Upon a Change in Control, all outstanding equity awards granted under the Equity Plan, and any other equity incentive plan maintained by the Company, that are held by a Non-Employee Director shall become fully vested and/or exercisable, irrespective of any other provisions of the Plan or any award agreement.</w:t>
      </w:r>
    </w:p>
    <w:p>
      <w:pPr>
        <w:spacing w:after="0" w:line="192" w:lineRule="exact"/>
        <w:rPr>
          <w:rFonts w:ascii="Times New Roman" w:cs="Times New Roman" w:eastAsia="Times New Roman" w:hAnsi="Times New Roman"/>
          <w:sz w:val="20"/>
          <w:szCs w:val="20"/>
          <w:color w:val="auto"/>
        </w:rPr>
      </w:pPr>
    </w:p>
    <w:p>
      <w:pPr>
        <w:ind w:right="20" w:firstLine="2254"/>
        <w:spacing w:after="0" w:line="269" w:lineRule="auto"/>
        <w:tabs>
          <w:tab w:leader="none" w:pos="2642"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each stock option granted to a Non-Employee Director shall be ten (10) years from the date the stock option is granted, subject to earlier termination to the extent set forth in the applicable award agreement.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Reimbursements</w:t>
      </w:r>
      <w:r>
        <w:rPr>
          <w:rFonts w:ascii="Times New Roman" w:cs="Times New Roman" w:eastAsia="Times New Roman" w:hAnsi="Times New Roman"/>
          <w:sz w:val="20"/>
          <w:szCs w:val="20"/>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69"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Basta, certify that:</w:t>
      </w:r>
    </w:p>
    <w:p>
      <w:pPr>
        <w:spacing w:after="0" w:line="22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April 30,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Basta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Steven Basta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President</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Sanjeev Narula, certify that:</w:t>
      </w:r>
    </w:p>
    <w:p>
      <w:pPr>
        <w:spacing w:after="0" w:line="223"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April 30,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Sanjeev Narula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Sanjeev Narula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and Business Officer</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March 31, 2026 as filed with the Securities and Exchange Commission on the date hereof (the “Report”), I, Steven Basta,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Basta</w:t>
            </w:r>
          </w:p>
        </w:tc>
      </w:tr>
      <w:tr>
        <w:trPr>
          <w:trHeight w:val="191"/>
        </w:trPr>
        <w:tc>
          <w:tcPr>
            <w:tcW w:w="4000" w:type="dxa"/>
            <w:vAlign w:val="bottom"/>
          </w:tcPr>
          <w:p>
            <w:pPr>
              <w:spacing w:after="0"/>
              <w:rPr>
                <w:sz w:val="16"/>
                <w:szCs w:val="16"/>
                <w:color w:val="auto"/>
              </w:rPr>
            </w:pP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Basta</w:t>
            </w:r>
          </w:p>
        </w:tc>
      </w:tr>
      <w:tr>
        <w:trPr>
          <w:trHeight w:val="216"/>
        </w:trPr>
        <w:tc>
          <w:tcPr>
            <w:tcW w:w="40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6" w:name="page47"/>
    <w:bookmarkEnd w:id="46"/>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100" w:firstLine="823"/>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Phathom Pharmaceuticals, Inc. (the “Company”) for the quarter ended March 31, 2026 as filed with the Securities and Exchange Commission on the date hereof (the “Report”), I, Sanjeev Narula, as Chief Financial &amp; Business Officer of the Company, certify, pursuant to 18 U.S.C. Section 1350, as adopted pursuant to Section 906 of the Sarbanes-Oxley Act of 2002, to my knowledge, that:</w:t>
      </w:r>
    </w:p>
    <w:p>
      <w:pPr>
        <w:spacing w:after="0" w:line="185" w:lineRule="exact"/>
        <w:rPr>
          <w:sz w:val="20"/>
          <w:szCs w:val="20"/>
          <w:color w:val="auto"/>
        </w:rPr>
      </w:pPr>
    </w:p>
    <w:p>
      <w:pPr>
        <w:ind w:left="840" w:right="180" w:hanging="832"/>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Sanjeev Narula</w:t>
            </w:r>
          </w:p>
        </w:tc>
      </w:tr>
      <w:tr>
        <w:trPr>
          <w:trHeight w:val="191"/>
        </w:trPr>
        <w:tc>
          <w:tcPr>
            <w:tcW w:w="400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Sanjeev Narula</w:t>
            </w:r>
          </w:p>
        </w:tc>
      </w:tr>
      <w:tr>
        <w:trPr>
          <w:trHeight w:val="216"/>
        </w:trPr>
        <w:tc>
          <w:tcPr>
            <w:tcW w:w="40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Business Officer</w:t>
            </w:r>
          </w:p>
        </w:tc>
      </w:tr>
      <w:tr>
        <w:trPr>
          <w:trHeight w:val="234"/>
        </w:trPr>
        <w:tc>
          <w:tcPr>
            <w:tcW w:w="4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1"/>
    </w:lvl>
    <w:lvl w:ilvl="1">
      <w:lvlJc w:val="left"/>
      <w:lvlText w:val="%2."/>
      <w:numFmt w:val="lowerLetter"/>
      <w:start w:val="1"/>
    </w:lvl>
  </w:abstractNum>
  <w:abstractNum w:abstractNumId="3">
    <w:nsid w:val="3352255A"/>
    <w:multiLevelType w:val="hybridMultilevel"/>
    <w:lvl w:ilvl="0">
      <w:lvlJc w:val="left"/>
      <w:lvlText w:val="%1"/>
      <w:numFmt w:val="upperLetter"/>
      <w:start w:val="6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Roman"/>
      <w:start w:val="1"/>
    </w:lvl>
    <w:lvl w:ilvl="1">
      <w:lvlJc w:val="left"/>
      <w:lvlText w:val="%2."/>
      <w:numFmt w:val="lowerLetter"/>
      <w:start w:val="1"/>
    </w:lvl>
  </w:abstractNum>
  <w:abstractNum w:abstractNumId="6">
    <w:nsid w:val="7FDCC233"/>
    <w:multiLevelType w:val="hybridMultilevel"/>
    <w:lvl w:ilvl="0">
      <w:lvlJc w:val="left"/>
      <w:lvlText w:val="(%1)"/>
      <w:numFmt w:val="lowerLetter"/>
      <w:start w:val="2"/>
    </w:lvl>
  </w:abstractNum>
  <w:abstractNum w:abstractNumId="7">
    <w:nsid w:val="1BEFD79F"/>
    <w:multiLevelType w:val="hybridMultilevel"/>
    <w:lvl w:ilvl="0">
      <w:lvlJc w:val="left"/>
      <w:lvlText w:val="(%1)"/>
      <w:numFmt w:val="lowerLetter"/>
      <w:start w:val="6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2"/>
      <w:numFmt w:val="decimal"/>
      <w:start w:val="104"/>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2"/>
    </w:lvl>
  </w:abstractNum>
  <w:abstractNum w:abstractNumId="13">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4">
    <w:nsid w:val="3F2DBA3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5">
    <w:nsid w:val="7C83E45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6">
    <w:nsid w:val="257130A3"/>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3"/>
    </w:lvl>
    <w:lvl w:ilvl="3">
      <w:lvlJc w:val="left"/>
      <w:lvlText w:val="*"/>
      <w:numFmt w:val="bullet"/>
      <w:start w:val="1"/>
    </w:lvl>
  </w:abstractNum>
  <w:abstractNum w:abstractNumId="17">
    <w:nsid w:val="62BBD95A"/>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28" Type="http://schemas.openxmlformats.org/officeDocument/2006/relationships/hyperlink" Target="https://www.sec.gov/Archives/edgar/data/1783183/000119312519277761/d795888dex31.htm" TargetMode="External"/><Relationship Id="rId129" Type="http://schemas.openxmlformats.org/officeDocument/2006/relationships/hyperlink" Target="https://www.sec.gov/Archives/edgar/data/1783183/000119312523156713/d487635dex31.htm" TargetMode="External"/><Relationship Id="rId130" Type="http://schemas.openxmlformats.org/officeDocument/2006/relationships/hyperlink" Target="https://www.sec.gov/ix?doc=/Archives/edgar/data/0001783183/000119312523296630/d602391d8k.htm" TargetMode="External"/><Relationship Id="rId131" Type="http://schemas.openxmlformats.org/officeDocument/2006/relationships/hyperlink" Target="https://www.sec.gov/Archives/edgar/data/1783183/000119312519267053/d63338dex41.htm" TargetMode="External"/><Relationship Id="rId132" Type="http://schemas.openxmlformats.org/officeDocument/2006/relationships/hyperlink" Target="https://www.sec.gov/Archives/edgar/data/1783183/000119312519258922/d63338dex43.htm" TargetMode="External"/><Relationship Id="rId133" Type="http://schemas.openxmlformats.org/officeDocument/2006/relationships/hyperlink" Target="https://www.sec.gov/Archives/edgar/data/1783183/000119312519258922/d63338dex44.htm" TargetMode="External"/><Relationship Id="rId134" Type="http://schemas.openxmlformats.org/officeDocument/2006/relationships/hyperlink" Target="https://www.sec.gov/Archives/edgar/data/1783183/000156459021055073/phat-ex102_212.htm" TargetMode="External"/><Relationship Id="rId135" Type="http://schemas.openxmlformats.org/officeDocument/2006/relationships/hyperlink" Target="https://www.sec.gov/Archives/edgar/data/1783183/000095017023020109/phat-ex4_5.htm" TargetMode="External"/><Relationship Id="rId136" Type="http://schemas.openxmlformats.org/officeDocument/2006/relationships/hyperlink" Target="https://www.sec.gov/Archives/edgar/data/1783183/000095017023020109/phat-ex4_6.htm" TargetMode="External"/><Relationship Id="rId137" Type="http://schemas.openxmlformats.org/officeDocument/2006/relationships/hyperlink" Target="https://www.sec.gov/Archives/edgar/data/1783183/000119312524202879/d816262dex41.htm" TargetMode="External"/><Relationship Id="rId138" Type="http://schemas.openxmlformats.org/officeDocument/2006/relationships/hyperlink" Target="https://www.sec.gov/Archives/edgar/data/1783183/000119312526007660/d680858dex41.htm" TargetMode="External"/><Relationship Id="rId139" Type="http://schemas.openxmlformats.org/officeDocument/2006/relationships/hyperlink" Target="https://www.sec.gov/Archives/edgar/data/1783183/000119312526073379/phat-ex10_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2026-04-30T06:11:14Z</dcterms:created>
  <dcterms:modified xsi:type="dcterms:W3CDTF">2026-04-30T06:11:14Z</dcterms:modified>
</cp:coreProperties>
</file>