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37998d8k.htm"/>
      <w:bookmarkStart w:id="1" w:name="ksd43799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PHATHOM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001-39094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82-4151574</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100 Campus Drive, Suite 102</w:t>
            </w:r>
          </w:p>
        </w:tc>
      </w:tr>
      <w:tr>
        <w:trPr/>
        <w:tc>
          <w:tcPr>
            <w:tcW w:w="5120" w:type="dxa"/>
            <w:tcBorders/>
            <w:vAlign w:val="center"/>
          </w:tcPr>
          <w:p>
            <w:pPr>
              <w:pStyle w:val="TableContents"/>
              <w:bidi w:val="0"/>
              <w:spacing w:before="0" w:after="283"/>
              <w:jc w:val="center"/>
              <w:rPr>
                <w:b/>
              </w:rPr>
            </w:pPr>
            <w:r>
              <w:rPr>
                <w:b/>
              </w:rPr>
              <w:t>Florham Park, New Jersey 07932</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40" w:after="0"/>
        <w:jc w:val="center"/>
        <w:rPr>
          <w:rFonts w:ascii="Times New Roman" w:hAnsi="Times New Roman"/>
          <w:b/>
          <w:sz w:val="20"/>
        </w:rPr>
      </w:pPr>
      <w:r>
        <w:rPr>
          <w:rFonts w:ascii="Times New Roman" w:hAnsi="Times New Roman"/>
          <w:b/>
          <w:sz w:val="20"/>
        </w:rPr>
        <w:t>(877) 742-8466</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include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bl>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PHAT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October 23, 2026, Phathom Pharmaceuticals, Inc. (“Phathom” or the “Company”) announced that BDR Pharmaceuticals International Pvt. Ltd. (“BDR”) has filed suit against the U.S. Food and Drug Administration (“FDA”) and related Federal Defendants in the United States District Court for the District of Columbia, principally challenging FDA’s alleged refusal to receive an abbreviated new drug application (“ANDA”) referencing Phathom’s new drug application (“NDA”) for VOQUEZNA. In the suit, BDR alleges that FDA has improperly applied the GAIN Act to extend Phathom’s New Chemical Entity (“NCE”) exclusivity for VOQUEZNA (vonoprazan fumarate) tablets. Phathom is evaluating the BDR filings, but believes that FDA carefully and correctly evaluated this issue in its June 6, 2025 grant of Phathom’s December 11, 2024 Citizen Petition, in which FDA recognized 10 years of NCE exclusivity for VOQUEZNA tablets through May 3, 2032. Phathom intends to take appropriate action to protect its statutory exclusivities.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including without limitation statements regarding: Phathom’s belief that FDA correctly evaluated and recognized the GAIN Act extension of the NCE exclusivity for VOQUEZNA tablets; Phathom’s intent to take appropriate actions to protect its statutory exclusivities; the expected duration of NCE exclusivity for VOQUEZNA tablets; and the potential timing and outcome of the litigation filed by BDR. These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including the risk that: BDR may succeed in its challenge to FDA’s recognition of the GAIN Act extension of NCE exclusivity for VOQUEZNA tablets which would result in a reduction in the period of regulatory exclusivity and permit FDA to receive and potentially approve ANDAs referencing VOQUEZNA tablets earlier than currently anticipated; the litigation, including any appeals, may be lengthy, costly and distracting to management, and its timing and outcome are uncertain; developments in the litigation, or public perception of them, may hurt Phathom’s stock price, VOQUEZNA sales, or Phathom’s business, financial condition and prospects; Phathom may not be able to obtain and maintain intellectual property protection, including patent term extensions, and may not be able to maintain non-patent regulatory exclusivity for VOQUEZNA for the time periods it expects or at all; Phathom may be unsuccessful in defending its Orange Book-listed patents against challenges by third parties; Phathom may face competition earlier than expected if it loses any of regulatory or patent protection or non-patent regulatory exclusivity for VOQUEZNA tablets, including as a result of an adverse outcome in the BDR litigation; and other risks described in Phathom’s prior filings with the Securities and Exchange Commission (SEC), including under the heading “Risk Factors” in the Company’s most recent Annual Report on Form 10-K and any subsequent filings with the SEC. You are cautioned not to place undue reliance on these forward-looking statements, which speak only as of the date hereof, and Phathom undertakes no obligation to revise or update such statements to reflect events or circumstances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21" w:type="dxa"/>
        <w:jc w:val="left"/>
        <w:tblInd w:w="0" w:type="dxa"/>
        <w:tblLayout w:type="fixed"/>
        <w:tblCellMar>
          <w:top w:w="0" w:type="dxa"/>
          <w:left w:w="0" w:type="dxa"/>
          <w:bottom w:w="0" w:type="dxa"/>
          <w:right w:w="0" w:type="dxa"/>
        </w:tblCellMar>
      </w:tblPr>
      <w:tblGrid>
        <w:gridCol w:w="2270"/>
        <w:gridCol w:w="60"/>
        <w:gridCol w:w="23"/>
        <w:gridCol w:w="60"/>
        <w:gridCol w:w="1111"/>
        <w:gridCol w:w="218"/>
        <w:gridCol w:w="2979"/>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PHATHOM PHARMACEUTICALS,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71" w:type="dxa"/>
            <w:gridSpan w:val="2"/>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By:</w:t>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Marie Cook</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Anne Marie Cook</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901</Words>
  <Characters>5142</Characters>
  <CharactersWithSpaces>6037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