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64135</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92710</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79" w:lineRule="exact"/>
        <w:rPr>
          <w:sz w:val="24"/>
          <w:szCs w:val="24"/>
          <w:color w:val="auto"/>
        </w:rPr>
      </w:pPr>
    </w:p>
    <w:p>
      <w:pPr>
        <w:ind w:left="500" w:right="24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ind w:left="3480"/>
        <w:spacing w:after="0"/>
        <w:tabs>
          <w:tab w:leader="none" w:pos="670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18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001-39094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82-4151574</w:t>
            </w:r>
          </w:p>
        </w:tc>
      </w:tr>
      <w:tr>
        <w:trPr>
          <w:trHeight w:val="149"/>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100 Campus Drive, Suite 102</w:t>
            </w:r>
          </w:p>
        </w:tc>
        <w:tc>
          <w:tcPr>
            <w:tcW w:w="3120" w:type="dxa"/>
            <w:vAlign w:val="bottom"/>
          </w:tcPr>
          <w:p>
            <w:pPr>
              <w:spacing w:after="0"/>
              <w:rPr>
                <w:sz w:val="24"/>
                <w:szCs w:val="24"/>
                <w:color w:val="auto"/>
              </w:rPr>
            </w:pPr>
          </w:p>
        </w:tc>
      </w:tr>
      <w:tr>
        <w:trPr>
          <w:trHeight w:val="212"/>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Florham Park, New Jersey</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07932</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(877) 742-8466</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PHAT</w:t>
            </w:r>
          </w:p>
        </w:tc>
        <w:tc>
          <w:tcPr>
            <w:tcW w:w="1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52"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4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5, 2020, the registrant had 28,964,506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p>
      <w:pPr>
        <w:jc w:val="center"/>
        <w:ind w:left="400"/>
        <w:spacing w:after="0"/>
        <w:rPr>
          <w:sz w:val="20"/>
          <w:szCs w:val="20"/>
          <w:color w:val="auto"/>
        </w:rPr>
      </w:pPr>
      <w:r>
        <w:rPr>
          <w:rFonts w:ascii="Arial" w:cs="Arial" w:eastAsia="Arial" w:hAnsi="Arial"/>
          <w:sz w:val="18"/>
          <w:szCs w:val="18"/>
          <w:b w:val="1"/>
          <w:bCs w:val="1"/>
          <w:color w:val="231F20"/>
        </w:rPr>
        <w:t>TABLE OF CONTENTS</w:t>
      </w:r>
    </w:p>
    <w:p>
      <w:pPr>
        <w:spacing w:after="0" w:line="25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ind w:left="560"/>
              <w:spacing w:after="0"/>
              <w:rPr>
                <w:sz w:val="20"/>
                <w:szCs w:val="20"/>
                <w:color w:val="auto"/>
              </w:rPr>
            </w:pPr>
            <w:r>
              <w:rPr>
                <w:rFonts w:ascii="Arial" w:cs="Arial" w:eastAsia="Arial" w:hAnsi="Arial"/>
                <w:sz w:val="18"/>
                <w:szCs w:val="18"/>
                <w:color w:val="auto"/>
              </w:rPr>
              <w:t>Item 1</w:t>
            </w:r>
          </w:p>
        </w:tc>
        <w:tc>
          <w:tcPr>
            <w:tcW w:w="812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70"/>
        </w:trPr>
        <w:tc>
          <w:tcPr>
            <w:tcW w:w="138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Balance Sheets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70"/>
        </w:trPr>
        <w:tc>
          <w:tcPr>
            <w:tcW w:w="138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Operations and Comprehensive Loss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70"/>
        </w:trPr>
        <w:tc>
          <w:tcPr>
            <w:tcW w:w="138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Stockholders’ Equity (Deficit)</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70"/>
        </w:trPr>
        <w:tc>
          <w:tcPr>
            <w:tcW w:w="138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Statements of Cash Flows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70"/>
        </w:trPr>
        <w:tc>
          <w:tcPr>
            <w:tcW w:w="138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Financial Statements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2</w:t>
            </w:r>
          </w:p>
        </w:tc>
        <w:tc>
          <w:tcPr>
            <w:tcW w:w="8120" w:type="dxa"/>
            <w:vAlign w:val="bottom"/>
          </w:tcPr>
          <w:p>
            <w:pPr>
              <w:ind w:left="2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3</w:t>
            </w:r>
          </w:p>
        </w:tc>
        <w:tc>
          <w:tcPr>
            <w:tcW w:w="8120" w:type="dxa"/>
            <w:vAlign w:val="bottom"/>
          </w:tcPr>
          <w:p>
            <w:pPr>
              <w:ind w:left="2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Quantitative and Qualitative Disclosures About Market Risk</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4</w:t>
            </w:r>
          </w:p>
        </w:tc>
        <w:tc>
          <w:tcPr>
            <w:tcW w:w="8120" w:type="dxa"/>
            <w:vAlign w:val="bottom"/>
          </w:tcPr>
          <w:p>
            <w:pPr>
              <w:ind w:left="2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Controls and Procedures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46"/>
        </w:trPr>
        <w:tc>
          <w:tcPr>
            <w:tcW w:w="9500" w:type="dxa"/>
            <w:vAlign w:val="bottom"/>
            <w:gridSpan w:val="2"/>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PART II. OTHER INFORMATION</w:t>
              </w:r>
            </w:hyperlink>
          </w:p>
        </w:tc>
        <w:tc>
          <w:tcPr>
            <w:tcW w:w="1680" w:type="dxa"/>
            <w:vAlign w:val="bottom"/>
          </w:tcPr>
          <w:p>
            <w:pPr>
              <w:spacing w:after="0"/>
              <w:rPr>
                <w:sz w:val="24"/>
                <w:szCs w:val="24"/>
                <w:color w:val="auto"/>
              </w:rPr>
            </w:pPr>
          </w:p>
        </w:tc>
      </w:tr>
      <w:tr>
        <w:trPr>
          <w:trHeight w:val="540"/>
        </w:trPr>
        <w:tc>
          <w:tcPr>
            <w:tcW w:w="1380" w:type="dxa"/>
            <w:vAlign w:val="bottom"/>
          </w:tcPr>
          <w:p>
            <w:pPr>
              <w:ind w:left="560"/>
              <w:spacing w:after="0"/>
              <w:rPr>
                <w:sz w:val="20"/>
                <w:szCs w:val="20"/>
                <w:color w:val="auto"/>
              </w:rPr>
            </w:pPr>
            <w:r>
              <w:rPr>
                <w:rFonts w:ascii="Arial" w:cs="Arial" w:eastAsia="Arial" w:hAnsi="Arial"/>
                <w:sz w:val="18"/>
                <w:szCs w:val="18"/>
                <w:color w:val="auto"/>
              </w:rPr>
              <w:t>Item 1</w:t>
            </w:r>
          </w:p>
        </w:tc>
        <w:tc>
          <w:tcPr>
            <w:tcW w:w="812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1A</w:t>
            </w:r>
          </w:p>
        </w:tc>
        <w:tc>
          <w:tcPr>
            <w:tcW w:w="812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Risk Factors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2</w:t>
            </w:r>
          </w:p>
        </w:tc>
        <w:tc>
          <w:tcPr>
            <w:tcW w:w="812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Unregistered Sales of Equity Securities and Use of Proceeds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3</w:t>
            </w:r>
          </w:p>
        </w:tc>
        <w:tc>
          <w:tcPr>
            <w:tcW w:w="8120" w:type="dxa"/>
            <w:vAlign w:val="bottom"/>
          </w:tcPr>
          <w:p>
            <w:pPr>
              <w:ind w:left="2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Defaults Upon Senior Securities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4</w:t>
            </w:r>
          </w:p>
        </w:tc>
        <w:tc>
          <w:tcPr>
            <w:tcW w:w="8120" w:type="dxa"/>
            <w:vAlign w:val="bottom"/>
          </w:tcPr>
          <w:p>
            <w:pPr>
              <w:ind w:left="2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Mine Safety Disclosures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5</w:t>
            </w:r>
          </w:p>
        </w:tc>
        <w:tc>
          <w:tcPr>
            <w:tcW w:w="8120" w:type="dxa"/>
            <w:vAlign w:val="bottom"/>
          </w:tcPr>
          <w:p>
            <w:pPr>
              <w:ind w:left="2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Other Information</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6</w:t>
            </w:r>
          </w:p>
        </w:tc>
        <w:tc>
          <w:tcPr>
            <w:tcW w:w="8120" w:type="dxa"/>
            <w:vAlign w:val="bottom"/>
          </w:tcPr>
          <w:p>
            <w:pPr>
              <w:ind w:left="2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38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Signatures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220345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tcPr>
          <w:p>
            <w:pPr>
              <w:jc w:val="right"/>
              <w:ind w:right="392"/>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256,672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243,765</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5,155</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11,836</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261,827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255,601</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9"/>
                <w:szCs w:val="19"/>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768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463</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939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933</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381</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181</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263,915</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257,178</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(including related party amounts of $112 and $200, respectively)</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1,187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699</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 (including related party amounts of $177 and $308, respectively)</w:t>
            </w:r>
          </w:p>
        </w:tc>
        <w:tc>
          <w:tcPr>
            <w:tcW w:w="280" w:type="dxa"/>
            <w:vAlign w:val="bottom"/>
          </w:tcPr>
          <w:p>
            <w:pPr>
              <w:spacing w:after="0"/>
              <w:rPr>
                <w:sz w:val="19"/>
                <w:szCs w:val="19"/>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3,004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2,319</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156</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liabilities, current</w:t>
            </w:r>
          </w:p>
        </w:tc>
        <w:tc>
          <w:tcPr>
            <w:tcW w:w="280" w:type="dxa"/>
            <w:vAlign w:val="bottom"/>
          </w:tcPr>
          <w:p>
            <w:pPr>
              <w:spacing w:after="0"/>
              <w:rPr>
                <w:sz w:val="19"/>
                <w:szCs w:val="19"/>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161</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Warrant liabilities</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413</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4,576</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3,748</w:t>
            </w:r>
          </w:p>
        </w:tc>
      </w:tr>
      <w:tr>
        <w:trPr>
          <w:trHeight w:val="229"/>
        </w:trPr>
        <w:tc>
          <w:tcPr>
            <w:tcW w:w="7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Long-term debt, net of discount</w:t>
            </w:r>
          </w:p>
        </w:tc>
        <w:tc>
          <w:tcPr>
            <w:tcW w:w="280" w:type="dxa"/>
            <w:vAlign w:val="bottom"/>
          </w:tcPr>
          <w:p>
            <w:pPr>
              <w:spacing w:after="0"/>
              <w:rPr>
                <w:sz w:val="19"/>
                <w:szCs w:val="19"/>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45,913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22,777</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606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635</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4,125</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2,063</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55,220</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29,223</w:t>
            </w:r>
          </w:p>
        </w:tc>
      </w:tr>
      <w:tr>
        <w:trPr>
          <w:trHeight w:val="223"/>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4)</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w w:val="93"/>
              </w:rPr>
              <w:t>Common stock, $0.0001 par value; authorized shares — 400,000,000; issued shares — 28,964,506;</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outstanding shares — 25,153,553 at March 31, 2020 and 24,728,258 at December 31, 2019,</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485,253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484,372</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(276,560)</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208,695</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227,955</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263,915</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257,178</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 (includes related party amounts of $404</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and $0, respectively)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15,865</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(includes related party amounts of $43</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$(29), respectively)</w:t>
            </w: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4,510</w:t>
            </w:r>
          </w:p>
        </w:tc>
        <w:tc>
          <w:tcPr>
            <w:tcW w:w="16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20,375</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(20,375)</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Interest expense (includes related party amounts of $(0) and $(11),</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 liabilities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Change in fair value of convertible promissory notes (includes related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party amounts of ($0) and ($14), respectively)</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234</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(20,141)</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of common stock outstanding, basic and diluted</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32,470,402</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6,585,503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398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00" w:type="dxa"/>
            <w:vAlign w:val="bottom"/>
            <w:gridSpan w:val="3"/>
            <w:vMerge w:val="restart"/>
          </w:tcPr>
          <w:p>
            <w:pPr>
              <w:jc w:val="right"/>
              <w:ind w:right="336"/>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216"/>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235"/>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00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5"/>
              <w:spacing w:after="0"/>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80" w:type="dxa"/>
            <w:vAlign w:val="bottom"/>
          </w:tcPr>
          <w:p>
            <w:pPr>
              <w:spacing w:after="0"/>
              <w:rPr>
                <w:sz w:val="13"/>
                <w:szCs w:val="13"/>
                <w:color w:val="auto"/>
              </w:rPr>
            </w:pPr>
          </w:p>
        </w:tc>
        <w:tc>
          <w:tcPr>
            <w:tcW w:w="122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335"/>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235"/>
              <w:spacing w:after="0" w:line="155"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1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24,728,258</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484,372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(256,419)</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227,955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Conversion of Lender Warrants into equity</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425,295</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25,153,553</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485,253</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(276,560)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208,695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180" w:type="dxa"/>
            <w:vAlign w:val="bottom"/>
          </w:tcPr>
          <w:p>
            <w:pPr>
              <w:spacing w:after="0"/>
              <w:rPr>
                <w:sz w:val="24"/>
                <w:szCs w:val="24"/>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F-3</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5" w:name="page6"/>
    <w:bookmarkEnd w:id="5"/>
    <w:p>
      <w:pPr>
        <w:ind w:left="398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4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215"/>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4"/>
                <w:szCs w:val="14"/>
                <w:color w:val="auto"/>
              </w:rPr>
            </w:pPr>
          </w:p>
        </w:tc>
        <w:tc>
          <w:tcPr>
            <w:tcW w:w="234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15"/>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center"/>
              <w:ind w:right="54"/>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194"/>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1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Merger of entities under common control into the Company</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6,760,334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Vesting restrictions placed on previously issued and outstanding</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common stock</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(3,373,408)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1,491,072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1,054,192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5,932,190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76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(20,141)</w:t>
            </w: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563</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 liabilities</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rPr>
              <w:t>Change in fair value of convertible promissory notes (includes related party</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80"/>
              <w:spacing w:after="0"/>
              <w:rPr>
                <w:sz w:val="20"/>
                <w:szCs w:val="20"/>
                <w:color w:val="auto"/>
              </w:rPr>
            </w:pPr>
            <w:r>
              <w:rPr>
                <w:rFonts w:ascii="Arial" w:cs="Arial" w:eastAsia="Arial" w:hAnsi="Arial"/>
                <w:sz w:val="18"/>
                <w:szCs w:val="18"/>
                <w:color w:val="auto"/>
              </w:rPr>
              <w:t>amounts of $0 and $14, respectively)</w:t>
            </w:r>
          </w:p>
        </w:tc>
        <w:tc>
          <w:tcPr>
            <w:tcW w:w="9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 (includes related party amounts</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640"/>
              <w:spacing w:after="0"/>
              <w:rPr>
                <w:sz w:val="20"/>
                <w:szCs w:val="20"/>
                <w:color w:val="auto"/>
              </w:rPr>
            </w:pPr>
            <w:r>
              <w:rPr>
                <w:rFonts w:ascii="Arial" w:cs="Arial" w:eastAsia="Arial" w:hAnsi="Arial"/>
                <w:sz w:val="18"/>
                <w:szCs w:val="18"/>
                <w:color w:val="auto"/>
              </w:rPr>
              <w:t>of $0, and $(114), respectively)</w:t>
            </w:r>
          </w:p>
        </w:tc>
        <w:tc>
          <w:tcPr>
            <w:tcW w:w="9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6,680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expenses (includes related party amounts of</w:t>
            </w: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$289, and $46, respectively)</w:t>
            </w:r>
          </w:p>
        </w:tc>
        <w:tc>
          <w:tcPr>
            <w:tcW w:w="92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1,492</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5"/>
        </w:trPr>
        <w:tc>
          <w:tcPr>
            <w:tcW w:w="7760" w:type="dxa"/>
            <w:vAlign w:val="bottom"/>
          </w:tcPr>
          <w:p>
            <w:pPr>
              <w:ind w:left="500"/>
              <w:spacing w:after="0"/>
              <w:rPr>
                <w:sz w:val="20"/>
                <w:szCs w:val="20"/>
                <w:color w:val="auto"/>
              </w:rPr>
            </w:pPr>
            <w:r>
              <w:rPr>
                <w:rFonts w:ascii="Arial" w:cs="Arial" w:eastAsia="Arial" w:hAnsi="Arial"/>
                <w:sz w:val="18"/>
                <w:szCs w:val="18"/>
                <w:color w:val="auto"/>
              </w:rPr>
              <w:t>Accrued interest (includes related party amounts of $0 and $11,</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9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right-of-use asset and lease liabilities</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long-term assets</w:t>
            </w: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(11,417)</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paid for property, plant and equipment</w:t>
            </w: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proceeds from issuance of long-term debt</w:t>
            </w: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25,000</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12,907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 beginning of period</w:t>
            </w: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243,765</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 end of period</w:t>
            </w: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256,672</w:t>
            </w:r>
          </w:p>
        </w:tc>
        <w:tc>
          <w:tcPr>
            <w:tcW w:w="1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Interest paid</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458</w:t>
            </w:r>
          </w:p>
        </w:tc>
        <w:tc>
          <w:tcPr>
            <w:tcW w:w="5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purchases included in accounts payable and accrued liabilities</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5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Final interest payment fee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FF0FC"/>
            </w:tcBorders>
            <w:vMerge w:val="continue"/>
          </w:tcPr>
          <w:p>
            <w:pPr>
              <w:spacing w:after="0"/>
              <w:rPr>
                <w:sz w:val="21"/>
                <w:szCs w:val="21"/>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2,063</w:t>
            </w:r>
          </w:p>
        </w:tc>
        <w:tc>
          <w:tcPr>
            <w:tcW w:w="1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Conversion of Lender Warrants into equity</w:t>
            </w: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318</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Phathom Pharmaceuticals, Inc. (the “Company” or “Phathom”) was incorporated in the state of Delaware in January 2018 under the name North Bridge IV, Inc. On March 13, 2019, the Company changed its name to Phathom Pharmaceuticals, Inc. and merged with YamadaCo IIA, Inc. (“YamadaCo”), a Delaware corporation formed in September 2017, with Phathom being the surviving entity (the “Merger”). All activities of YamadaCo prior to 2018 related to formation and were insignificant. The Company is a late clinical-stage biopharmaceutical company focused on developing and commercializing novel treatments for gastrointestinal diseases.</w:t>
      </w:r>
    </w:p>
    <w:p>
      <w:pPr>
        <w:spacing w:after="0" w:line="14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On October 29, 2019, the Company completed its initial public offering (the “IPO”) and issued 10,997,630 shares of common stock for net proceeds of approximately $191.5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8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On October 11, 2019, the Company effected a 2.168-for-1 forward stock split of its common stock (the “Forward Stock Split”). The par value of the common stock was not adjusted as a result of the Forward Stock Split and the authorized shares were increased to 50,000,000 shares of common stock in connection with the Forward Stock Split. In conjunction with the Company’s IPO, the authorized shares of common stock were increased to 400,000,000. The accompanying financial statements and notes to the financial statements give retroactive effect to the Forward Stock Split for all periods presented, unless otherwise indicated.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Company’s financial statements are prepared in accordance with U.S. generally accepted accounting principles (“GAAP”). The accompanying financial statements include the accounts of the Company (the receiving entity) and YamadaCo, prior to the Merger. The Company and YamadaCo were entities under the common control of Frazier Life Sciences IX, L.P. (“Frazier”) as a result of, among other things, Frazier’s; (i) ownership of a majority of the outstanding capital stock of both companies, (ii) financing of both companies, (iii) control of the board of directors of both companies, and (iv) management of both companies. Both the Company and YamadaCo were formed for the purpose of identifying potential assets around which to form an operating company. As the merged entities were under common control, the financial statements report the financial position, results of operations and cash flows of the Company and YamadaCo as though the transfer of net assets and equity interests had occurred at the beginning of 2018. All intercompany accounts and transactions have been eliminated.</w:t>
      </w:r>
    </w:p>
    <w:p>
      <w:pPr>
        <w:spacing w:after="0" w:line="151" w:lineRule="exact"/>
        <w:rPr>
          <w:sz w:val="20"/>
          <w:szCs w:val="20"/>
          <w:color w:val="auto"/>
        </w:rPr>
      </w:pPr>
    </w:p>
    <w:p>
      <w:pPr>
        <w:ind w:right="620" w:firstLine="749"/>
        <w:spacing w:after="0" w:line="263" w:lineRule="auto"/>
        <w:rPr>
          <w:sz w:val="20"/>
          <w:szCs w:val="20"/>
          <w:color w:val="auto"/>
        </w:rPr>
      </w:pPr>
      <w:r>
        <w:rPr>
          <w:rFonts w:ascii="Arial" w:cs="Arial" w:eastAsia="Arial" w:hAnsi="Arial"/>
          <w:sz w:val="18"/>
          <w:szCs w:val="18"/>
          <w:color w:val="auto"/>
        </w:rPr>
        <w:t>Interim results may not be indicative of the results that may be expected for the full year. In the opinion of management, these unaudited financial statements include all normal and recurring adjustments considered necessary for a fair presentation of these interim unaudited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From inception to March 31, 2020, the Company has devoted substantially all of its efforts to organizing and staffing the Company, business planning, raising capital, in-licensing its initial product candidate, vonoprazan, meeting with regulatory authorities, preparing for and managing the Phase 3 clinical trials of vonoprazan, and providing other general and administrative support for these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net losses into the foreseeable future as it continues the development and commercialization of vonoprazan. From inception to March 31, 2020, the Company has funded its operations through the issuance of convertible promissory notes, commercial bank debt and the sale of 10,997,630 shares of common stock for net proceeds of approximately $191.5 million in its 2019 IPO.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211" w:lineRule="exact"/>
        <w:rPr>
          <w:sz w:val="20"/>
          <w:szCs w:val="20"/>
          <w:color w:val="auto"/>
        </w:rPr>
      </w:pPr>
    </w:p>
    <w:p>
      <w:pPr>
        <w:ind w:right="280" w:firstLine="510"/>
        <w:spacing w:after="0" w:line="293" w:lineRule="auto"/>
        <w:rPr>
          <w:sz w:val="20"/>
          <w:szCs w:val="20"/>
          <w:color w:val="auto"/>
        </w:rPr>
      </w:pPr>
      <w:r>
        <w:rPr>
          <w:rFonts w:ascii="Arial" w:cs="Arial" w:eastAsia="Arial" w:hAnsi="Arial"/>
          <w:sz w:val="16"/>
          <w:szCs w:val="16"/>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2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financial statements were available to be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300" w:firstLine="510"/>
        <w:spacing w:after="0" w:line="296" w:lineRule="auto"/>
        <w:rPr>
          <w:sz w:val="20"/>
          <w:szCs w:val="20"/>
          <w:color w:val="auto"/>
        </w:rPr>
      </w:pPr>
      <w:r>
        <w:rPr>
          <w:rFonts w:ascii="Arial" w:cs="Arial" w:eastAsia="Arial" w:hAnsi="Arial"/>
          <w:sz w:val="16"/>
          <w:szCs w:val="16"/>
          <w:color w:val="auto"/>
        </w:rPr>
        <w:t>The preparation of the Company’s financial statements requires it to make estimates and assumptions that impact the reported amounts of assets, liabilities and expenses and the disclosure of contingent assets and liabilities in the Company’s financial statements and accompanying notes. The most significant estimates in the Company’s financial statements relate to accruals for research and development expenses, and the valuation of convertible promissory notes, warrant liabilities and various other equity instruments. Although these estimates are based on the Company’s knowledge of current events and actions it may undertake in the future, actual results could differ materially from those estimates and assumptions.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98"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 xml:space="preserve">As permitted under Accounting Standards Codification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(“ASC 825”), the Company has elected the fair value option to account for its convertible promissory notes issued since inception. In accordance with ASC 825, the Company records these convertible promissory notes at fair value with changes in fair value recorded in the statements of operations. As a result of applying the fair value option, direct costs and fees related to the convertible promissory notes were recognized in earnings as incurred and not deferred.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w:t>
      </w:r>
    </w:p>
    <w:p>
      <w:pPr>
        <w:spacing w:after="0" w:line="198"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The carrying amounts of the Company’s financial instruments, including cash and cash equivalents, are classified within the Level 1 designation discussed above, while prepaid and other current assets, accounts payable, and accrued liabilities, approximate fair value due to their short maturities. Warrant liabilities and convertible promissory notes are recorded at fair value on a recurring basis.</w:t>
      </w:r>
    </w:p>
    <w:p>
      <w:pPr>
        <w:spacing w:after="0" w:line="143" w:lineRule="exact"/>
        <w:rPr>
          <w:sz w:val="20"/>
          <w:szCs w:val="20"/>
          <w:color w:val="auto"/>
        </w:rPr>
      </w:pPr>
    </w:p>
    <w:p>
      <w:pPr>
        <w:ind w:right="480" w:firstLine="510"/>
        <w:spacing w:after="0" w:line="308" w:lineRule="auto"/>
        <w:rPr>
          <w:sz w:val="20"/>
          <w:szCs w:val="20"/>
          <w:color w:val="auto"/>
        </w:rPr>
      </w:pPr>
      <w:r>
        <w:rPr>
          <w:rFonts w:ascii="Arial" w:cs="Arial" w:eastAsia="Arial" w:hAnsi="Arial"/>
          <w:sz w:val="17"/>
          <w:szCs w:val="17"/>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Liabilities measured at fair value on a recurring basis are as follows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8"/>
          </w:tcPr>
          <w:p>
            <w:pPr>
              <w:jc w:val="center"/>
              <w:ind w:right="139"/>
              <w:spacing w:after="0"/>
              <w:rPr>
                <w:sz w:val="20"/>
                <w:szCs w:val="20"/>
                <w:color w:val="auto"/>
              </w:rPr>
            </w:pPr>
            <w:r>
              <w:rPr>
                <w:rFonts w:ascii="Arial" w:cs="Arial" w:eastAsia="Arial" w:hAnsi="Arial"/>
                <w:sz w:val="14"/>
                <w:szCs w:val="14"/>
                <w:b w:val="1"/>
                <w:bCs w:val="1"/>
                <w:color w:val="auto"/>
                <w:w w:val="93"/>
              </w:rPr>
              <w:t>Fair Value Measurements at</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Reporting Date Using:</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89"/>
              </w:rPr>
              <w:t>Quoted Prices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1"/>
                <w:szCs w:val="11"/>
                <w:color w:val="auto"/>
              </w:rPr>
            </w:pPr>
          </w:p>
        </w:tc>
        <w:tc>
          <w:tcPr>
            <w:tcW w:w="106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106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of March 31, 2020:</w:t>
            </w:r>
          </w:p>
        </w:tc>
        <w:tc>
          <w:tcPr>
            <w:tcW w:w="16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rPr>
                <w:sz w:val="20"/>
                <w:szCs w:val="20"/>
                <w:color w:val="auto"/>
              </w:rPr>
            </w:pPr>
            <w:r>
              <w:rPr>
                <w:rFonts w:ascii="Arial" w:cs="Arial" w:eastAsia="Arial" w:hAnsi="Arial"/>
                <w:sz w:val="18"/>
                <w:szCs w:val="18"/>
                <w:color w:val="auto"/>
              </w:rPr>
              <w:t>Warrant liabilities</w:t>
            </w:r>
          </w:p>
        </w:tc>
        <w:tc>
          <w:tcPr>
            <w:tcW w:w="18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As of December 31, 2019:</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rPr>
                <w:sz w:val="20"/>
                <w:szCs w:val="20"/>
                <w:color w:val="auto"/>
              </w:rPr>
            </w:pPr>
            <w:r>
              <w:rPr>
                <w:rFonts w:ascii="Arial" w:cs="Arial" w:eastAsia="Arial" w:hAnsi="Arial"/>
                <w:sz w:val="18"/>
                <w:szCs w:val="18"/>
                <w:color w:val="auto"/>
              </w:rPr>
              <w:t>Warrant liabilities</w:t>
            </w:r>
          </w:p>
        </w:tc>
        <w:tc>
          <w:tcPr>
            <w:tcW w:w="18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413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warrant liabilities consist of warrants (the “Lender Warrants”) issued in connection with the loan and security agreement (the “Loan Agreement”) for commercial bank debt (see Note 7). The Lender Warrants were accounted for as liabilities as they contained a holder put right under which the lenders could have required the Company to pay cash in exchange for the Lender Warrants. The fair value of the Lender Warrants was estimated on the date of grant using the Black-Scholes option-pricing model with an expected term equal to the remaining contractual term of the warrants. The Company estimates its expected stock volatility based on the historical volatility of a set of peer companies, which are publicly traded, and expects to continue to do so until it has adequate historical data regarding the volatility of its own publicly-traded stock price. The risk-free interest rate is determined by reference to the U.S. Treasury yield curve in effect at the time of grant of the award for time periods approximately equal to the expected term of the award. The Company uses an expected dividend yield of zero based on the fact that the Company has never paid cash dividends and does not expect to pay cash dividends in the foreseeable future. When the Company drew down the Term Loan B under the Loan Agreement in March 2020 (see Note 7), the Lenders’ put right expired, and the Company recorded a final fair value adjustment and reclassified the Lender Warrants balance of $0.3 million to additional paid-in-capital.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a reconciliation of all liabilities measured at fair value using Level 3 significant unobservable inputs (in thousands):</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jc w:val="right"/>
              <w:ind w:right="876"/>
              <w:spacing w:after="0"/>
              <w:rPr>
                <w:sz w:val="20"/>
                <w:szCs w:val="20"/>
                <w:color w:val="auto"/>
              </w:rPr>
            </w:pPr>
            <w:r>
              <w:rPr>
                <w:rFonts w:ascii="Arial" w:cs="Arial" w:eastAsia="Arial" w:hAnsi="Arial"/>
                <w:sz w:val="14"/>
                <w:szCs w:val="14"/>
                <w:b w:val="1"/>
                <w:bCs w:val="1"/>
                <w:color w:val="auto"/>
              </w:rPr>
              <w:t>Warrant</w:t>
            </w:r>
          </w:p>
        </w:tc>
      </w:tr>
      <w:tr>
        <w:trPr>
          <w:trHeight w:val="171"/>
        </w:trPr>
        <w:tc>
          <w:tcPr>
            <w:tcW w:w="53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Liabilities</w:t>
            </w: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4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413</w:t>
            </w: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4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Reclassification of Lender Warrants into equity (Note 7)</w:t>
            </w:r>
          </w:p>
        </w:tc>
        <w:tc>
          <w:tcPr>
            <w:tcW w:w="46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when purchased to be cash equivalents. Cash and cash equivalents include cash in readily available checking accounts and money market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8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9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Property, plant and equipment are recorded at cost, less accumulated depreciation. Depreciation expense is recognized using the straight-line method over the useful life of the asset. Computer equipment and related software are depreciated over two to three years. Furniture and fixtures are depreciated over three years. Leasehold improvements are amortized over the lesser of the lease term or the estimated useful lives of the related assets.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 impairment losses have been recorded through March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Accruals</w:t>
      </w:r>
    </w:p>
    <w:p>
      <w:pPr>
        <w:spacing w:after="0" w:line="198" w:lineRule="exact"/>
        <w:rPr>
          <w:sz w:val="20"/>
          <w:szCs w:val="20"/>
          <w:color w:val="auto"/>
        </w:rPr>
      </w:pPr>
    </w:p>
    <w:p>
      <w:pPr>
        <w:jc w:val="both"/>
        <w:ind w:right="280" w:firstLine="510"/>
        <w:spacing w:after="0" w:line="259" w:lineRule="auto"/>
        <w:rPr>
          <w:sz w:val="20"/>
          <w:szCs w:val="20"/>
          <w:color w:val="auto"/>
        </w:rPr>
      </w:pPr>
      <w:r>
        <w:rPr>
          <w:rFonts w:ascii="Arial" w:cs="Arial" w:eastAsia="Arial" w:hAnsi="Arial"/>
          <w:sz w:val="18"/>
          <w:szCs w:val="18"/>
          <w:color w:val="231F20"/>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and consultants to conduct and support the Company’s ongoing clinical trials of vonoprazan, and costs related to manufacturing vonoprazan for clinical trials</w:t>
      </w:r>
      <w:r>
        <w:rPr>
          <w:rFonts w:ascii="Arial" w:cs="Arial" w:eastAsia="Arial" w:hAnsi="Arial"/>
          <w:sz w:val="18"/>
          <w:szCs w:val="18"/>
          <w:color w:val="000000"/>
        </w:rPr>
        <w:t>.</w:t>
      </w:r>
    </w:p>
    <w:p>
      <w:pPr>
        <w:spacing w:after="0" w:line="14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9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Company evaluates whether acquired intangible assets are a business under applicable accounting standards. Additionally, the Company evaluates whether the acquired assets have a future alternative use. Intangible assets that do not have future alternative use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General and administrative expenses consist of salaries, stock-based compensation, facilities and third-party expenses. General and administrative expenses are associated with the activities of the executive, finance, accounting, information technology, legal, medical affairs and human resource functions.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Stock-based compensation expense represents the cost of the grant date fair value of equity awards recognized over the requisite service period of the awards (generally the vesting period) on a straight-line basis. The Company recognizes forfeitures as they occur.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 of operations in the period that includes the enactment date.</w:t>
      </w:r>
    </w:p>
    <w:p>
      <w:pPr>
        <w:spacing w:after="0" w:line="14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36"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Comprehensive loss is defined as a change in equity during a period from transactions and other events and circumstances from non-owner sources.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comprehensive loss was the same as its reported net loss for all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98"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in making decisions on how to allocate resources and assess performance. The Company views its operations and manages its business as one operating segment.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98"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For the three months ended March 31, 2019, the net loss per share was recast to include in the numerator the net losses of both the Company and YamadaCo and include in the denominator the weighted-average outstanding shares of both the Company and YamadaCo. Basic net loss per share is computed by dividing the net loss by the weighted-average number of common shares outstanding for the period, without consideration for potentially dilutive securities. The Company included 7,588,000 shares of common stock under its warrant (the “Takeda Warrant”) issued to Takeda Pharmaceutical Company Limited (“Takeda”) in connection with a May 2019 license agreement (see Note 4) in the calculation of basic weighted-average common shares outstanding from the time it became exercisable at the Company’s IPO because the Takeda Warrant is exercisable for little consideration. For the three months ended March 31, 2020 and 2019, the Company has excluded weighted-average unvested shares of 4,082,104 and 857,595, respectively, from the weighted-average number of common shares outstanding.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warrants and convertible promissory notes. For all periods presented, there is no difference in the number of shares used to calculate basic and diluted shares outstanding as inclusion of the potentially dilutive securities would be antidilutive.</w:t>
      </w:r>
    </w:p>
    <w:p>
      <w:pPr>
        <w:spacing w:after="0" w:line="138"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for the periods presented because their inclusion would have been antidilutive:</w:t>
      </w:r>
    </w:p>
    <w:p>
      <w:pPr>
        <w:spacing w:after="0" w:line="175"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-3175</wp:posOffset>
            </wp:positionV>
            <wp:extent cx="19970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4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16,446</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Stock options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1,534,755</w:t>
            </w:r>
          </w:p>
        </w:tc>
        <w:tc>
          <w:tcPr>
            <w:tcW w:w="16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Common shares subject to repurchase</w:t>
            </w: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3,810,953</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4,062,290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8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212529"/>
        </w:rPr>
        <w:t xml:space="preserve">In June 2016, the </w:t>
      </w:r>
      <w:r>
        <w:rPr>
          <w:rFonts w:ascii="Arial" w:cs="Arial" w:eastAsia="Arial" w:hAnsi="Arial"/>
          <w:sz w:val="18"/>
          <w:szCs w:val="18"/>
          <w:color w:val="000000"/>
        </w:rPr>
        <w:t>Financial Accounting Standards Board (“FASB”)</w:t>
      </w:r>
      <w:r>
        <w:rPr>
          <w:rFonts w:ascii="Arial" w:cs="Arial" w:eastAsia="Arial" w:hAnsi="Arial"/>
          <w:sz w:val="18"/>
          <w:szCs w:val="18"/>
          <w:color w:val="212529"/>
        </w:rPr>
        <w:t xml:space="preserve"> issued Accounting Standards Update (“ASU”) No. 2016-13, </w:t>
      </w:r>
      <w:r>
        <w:rPr>
          <w:rFonts w:ascii="Arial" w:cs="Arial" w:eastAsia="Arial" w:hAnsi="Arial"/>
          <w:sz w:val="18"/>
          <w:szCs w:val="18"/>
          <w:i w:val="1"/>
          <w:iCs w:val="1"/>
          <w:color w:val="212529"/>
        </w:rPr>
        <w:t>Financial</w:t>
      </w:r>
      <w:r>
        <w:rPr>
          <w:rFonts w:ascii="Arial" w:cs="Arial" w:eastAsia="Arial" w:hAnsi="Arial"/>
          <w:sz w:val="18"/>
          <w:szCs w:val="18"/>
          <w:color w:val="212529"/>
        </w:rPr>
        <w:t xml:space="preserve"> </w:t>
      </w:r>
      <w:r>
        <w:rPr>
          <w:rFonts w:ascii="Arial" w:cs="Arial" w:eastAsia="Arial" w:hAnsi="Arial"/>
          <w:sz w:val="18"/>
          <w:szCs w:val="18"/>
          <w:i w:val="1"/>
          <w:iCs w:val="1"/>
          <w:color w:val="212529"/>
        </w:rPr>
        <w:t xml:space="preserve">Instruments - Credit Losses (Topic 326): Measurement of Credit Losses on Financial Instruments </w:t>
      </w:r>
      <w:r>
        <w:rPr>
          <w:rFonts w:ascii="Arial" w:cs="Arial" w:eastAsia="Arial" w:hAnsi="Arial"/>
          <w:sz w:val="18"/>
          <w:szCs w:val="18"/>
          <w:color w:val="212529"/>
        </w:rPr>
        <w:t>(“ASU 2016-13”). ASU 2016-13 implements an</w:t>
      </w:r>
      <w:r>
        <w:rPr>
          <w:rFonts w:ascii="Arial" w:cs="Arial" w:eastAsia="Arial" w:hAnsi="Arial"/>
          <w:sz w:val="18"/>
          <w:szCs w:val="18"/>
          <w:i w:val="1"/>
          <w:iCs w:val="1"/>
          <w:color w:val="212529"/>
        </w:rPr>
        <w:t xml:space="preserve"> </w:t>
      </w:r>
      <w:r>
        <w:rPr>
          <w:rFonts w:ascii="Arial" w:cs="Arial" w:eastAsia="Arial" w:hAnsi="Arial"/>
          <w:sz w:val="18"/>
          <w:szCs w:val="18"/>
          <w:color w:val="212529"/>
        </w:rPr>
        <w:t xml:space="preserve">impairment model, known as the current expected credit loss model, based on expected losses rather than incurred losses. Under the new guidance, an entity will recognize, as an allowance, its estimate of expected credit losses. ASU 2016-13 is effective for interim and annual periods beginning after December 15, 2019, with early adoption permitted. </w:t>
      </w:r>
      <w:r>
        <w:rPr>
          <w:rFonts w:ascii="Arial" w:cs="Arial" w:eastAsia="Arial" w:hAnsi="Arial"/>
          <w:sz w:val="18"/>
          <w:szCs w:val="18"/>
          <w:color w:val="000000"/>
        </w:rPr>
        <w:t>The Company adopted this guidance effective January 1, 2020, and the adoption did not have a material</w:t>
      </w:r>
      <w:r>
        <w:rPr>
          <w:rFonts w:ascii="Arial" w:cs="Arial" w:eastAsia="Arial" w:hAnsi="Arial"/>
          <w:sz w:val="18"/>
          <w:szCs w:val="18"/>
          <w:color w:val="212529"/>
        </w:rPr>
        <w:t xml:space="preserve"> </w:t>
      </w:r>
      <w:r>
        <w:rPr>
          <w:rFonts w:ascii="Arial" w:cs="Arial" w:eastAsia="Arial" w:hAnsi="Arial"/>
          <w:sz w:val="18"/>
          <w:szCs w:val="18"/>
          <w:color w:val="000000"/>
        </w:rPr>
        <w:t>impact on the Company's financial statements.</w:t>
      </w:r>
    </w:p>
    <w:p>
      <w:pPr>
        <w:spacing w:after="0" w:line="165" w:lineRule="exact"/>
        <w:rPr>
          <w:sz w:val="20"/>
          <w:szCs w:val="20"/>
          <w:color w:val="auto"/>
        </w:rPr>
      </w:pPr>
    </w:p>
    <w:p>
      <w:pPr>
        <w:ind w:right="240" w:firstLine="510"/>
        <w:spacing w:after="0" w:line="30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which eliminates, modifies and adds disclosure requirements on fair value measurements. The standard is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annual periods beginning after December 15, 2019, including interim periods within those fiscal years, and early adoption is permitted. The Company adopted this guidance effective January 1, 2020, and the adoption did not have a material impact on the Company's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simplifies the accounting for income taxes. ASU 2019-12 is effective for annual reporting periods, and interim periods within those annual periods, beginning after December 15, 2020 on a prospective basis, and early adoption is permitted. The Company does not expect the adoption of ASU 2019-12 will have a significant impact on its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net, consist of the following (in thousands):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ind w:right="57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7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2019</w:t>
            </w: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152</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9"/>
                <w:szCs w:val="19"/>
                <w:color w:val="auto"/>
              </w:rPr>
            </w:pP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306</w:t>
            </w: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13</w:t>
            </w:r>
          </w:p>
        </w:tc>
      </w:tr>
      <w:tr>
        <w:trPr>
          <w:trHeight w:val="223"/>
        </w:trPr>
        <w:tc>
          <w:tcPr>
            <w:tcW w:w="4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828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471</w:t>
            </w: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768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463</w:t>
            </w:r>
          </w:p>
        </w:tc>
      </w:tr>
      <w:tr>
        <w:trPr>
          <w:trHeight w:val="20"/>
        </w:trPr>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0" w:firstLine="510"/>
        <w:spacing w:after="0" w:line="308" w:lineRule="auto"/>
        <w:rPr>
          <w:sz w:val="20"/>
          <w:szCs w:val="20"/>
          <w:color w:val="auto"/>
        </w:rPr>
      </w:pPr>
      <w:r>
        <w:rPr>
          <w:rFonts w:ascii="Arial" w:cs="Arial" w:eastAsia="Arial" w:hAnsi="Arial"/>
          <w:sz w:val="17"/>
          <w:szCs w:val="17"/>
          <w:color w:val="auto"/>
        </w:rPr>
        <w:t>Depreciation expense for the three months ended March 31, 2020 was approximately $52,000. There was no depreciation expense for the three months ended March 31, 2019. No property, plant or equipment was disposed of during the three months ended March 31,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 of the following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jc w:val="right"/>
              <w:ind w:right="36"/>
              <w:spacing w:after="0"/>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ind w:right="57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960" w:type="dxa"/>
            <w:vAlign w:val="bottom"/>
          </w:tcPr>
          <w:p>
            <w:pPr>
              <w:spacing w:after="0"/>
              <w:rPr>
                <w:sz w:val="14"/>
                <w:szCs w:val="14"/>
                <w:color w:val="auto"/>
              </w:rPr>
            </w:pPr>
          </w:p>
        </w:tc>
        <w:tc>
          <w:tcPr>
            <w:tcW w:w="218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ind w:right="855"/>
              <w:spacing w:after="0"/>
              <w:rPr>
                <w:sz w:val="20"/>
                <w:szCs w:val="20"/>
                <w:color w:val="auto"/>
              </w:rPr>
            </w:pPr>
            <w:r>
              <w:rPr>
                <w:rFonts w:ascii="Arial" w:cs="Arial" w:eastAsia="Arial" w:hAnsi="Arial"/>
                <w:sz w:val="14"/>
                <w:szCs w:val="14"/>
                <w:b w:val="1"/>
                <w:bCs w:val="1"/>
                <w:color w:val="auto"/>
              </w:rPr>
              <w:t>2019</w:t>
            </w: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R&amp;D expenses</w:t>
            </w:r>
          </w:p>
        </w:tc>
        <w:tc>
          <w:tcPr>
            <w:tcW w:w="7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1,985</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384</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Accrued compensation expenses</w:t>
            </w:r>
          </w:p>
        </w:tc>
        <w:tc>
          <w:tcPr>
            <w:tcW w:w="7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641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1,052</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&amp; consulting expenses</w:t>
            </w:r>
          </w:p>
        </w:tc>
        <w:tc>
          <w:tcPr>
            <w:tcW w:w="7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478</w:t>
            </w:r>
          </w:p>
        </w:tc>
      </w:tr>
      <w:tr>
        <w:trPr>
          <w:trHeight w:val="230"/>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76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405</w:t>
            </w:r>
          </w:p>
        </w:tc>
      </w:tr>
      <w:tr>
        <w:trPr>
          <w:trHeight w:val="223"/>
        </w:trPr>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7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3,004</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2,319</w:t>
            </w:r>
          </w:p>
        </w:tc>
      </w:tr>
      <w:tr>
        <w:trPr>
          <w:trHeight w:val="20"/>
        </w:trPr>
        <w:tc>
          <w:tcPr>
            <w:tcW w:w="3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189"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Frazier is a principal stockholder of the Company and is represented on the Company’s board of directors. The Company has conducted operations within office space controlled by Frazier and Frazier allocated a portion of the costs associated with this office space to the Company. In addition, Frazier paid for various goods and services, such as employee wages, insurance and expense reimbursements and various administrative services associated with the operations of the Company and charged the Company for those expenses. As of March 31, 2020 and December 31, 2019, the Company had outstanding accounts payable and accrued expenses due to Frazier in the amount of $40,000 and $0.1 million, respectively, related to these shared operating expenses. For the three months ended March 31, 2020 and 2019, the Company incurred $43,000 and $60,000, respectively, of shared operating expenses. In addition to the shared operating expenses, the Company issued convertible promissory notes to Frazier during 2018 and 2019 (see Note 5).</w:t>
      </w:r>
    </w:p>
    <w:p>
      <w:pPr>
        <w:spacing w:after="0" w:line="13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Frazier is a principal stockholder in PCI Pharma Services (“PCI”). In the third quarter of 2019, the Company engaged PCI for clinical manufacturing services. As of March 31, 2020 and December 31, 2019, the Company had $0.2 million and $0.3 million, respectively, outstanding accounts payable and accrued expenses related to these manufacturing services. For the three months ended March 31, 2020, the Company incurred $0.4 million of expenses related to services performed by PCI.</w:t>
      </w:r>
    </w:p>
    <w:p>
      <w:pPr>
        <w:spacing w:after="0" w:line="14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Mountain Field LLC (“Mountain Field”) is an entity owned by the chairman of the Company’s board of directors. During 2019, the Company charged Mountain Field for certain rent and payroll related expenses. These shared expenses were allocated based on usage of the related facilities and time incurred by personnel. For the three months ended March 31, 2019, the Company charged Mountain Field $0.1 million for shared expenses. There were no such expenses for the three months ended March 31, 2020.</w:t>
      </w:r>
    </w:p>
    <w:p>
      <w:pPr>
        <w:spacing w:after="0" w:line="146"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Takeda became a common stockholder of the Company in connection with the May 2019 license agreement (see Note 4). In conjunction with this license, Takeda provides proprietary supplies for the Company’s ongoing clinical development of vonoprazan in addition to the exclusive license for the commercialization of vonoprazan in the United States, Canada and Europe. As of March 31, 2020 and December 31, 2019, the Company had $22,000 and $0.1 million, respectively, in outstanding accounts payable and accrued expenses related to these supply services. The Company did not have any such expenses incurred for the three months ended March 31, 2020 related to services performed by Takeda.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8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On May 7, 2019, the Company entered into a license agreement with Takeda pursuant to which it was granted an exclusive license to commercialize vonoprazan fumarate in the United States, Canada and Europe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51"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In consideration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$250.0 million in sales milestones upon the achievement of specified levels of product sales, and a low double-digit royalty rate on aggregate net sales of licensed products, subject to certain adjustments. The Company incurred $0.1 million of transaction costs in connection with the Takeda License. The Takeda Warrant has an exercise price of $0.00004613 per share, expires on May 7, 2029 and became exercisable upon the consummation of the IPO. Following the October 11, 2019 increase in the Company’s authorized shares of common stock to 50,000,000, the Company recorded a non-cash charge related to the final fair value adjustment of the Takeda Warrants and reclassified the full balance of $144.2 million from warrant liabilities to additional paid-in capital.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85" w:lineRule="exact"/>
        <w:rPr>
          <w:sz w:val="20"/>
          <w:szCs w:val="20"/>
          <w:color w:val="auto"/>
        </w:rPr>
      </w:pPr>
    </w:p>
    <w:p>
      <w:pPr>
        <w:ind w:right="320" w:firstLine="510"/>
        <w:spacing w:after="0" w:line="308" w:lineRule="auto"/>
        <w:rPr>
          <w:sz w:val="20"/>
          <w:szCs w:val="20"/>
          <w:color w:val="auto"/>
        </w:rPr>
      </w:pPr>
      <w:r>
        <w:rPr>
          <w:rFonts w:ascii="Arial" w:cs="Arial" w:eastAsia="Arial" w:hAnsi="Arial"/>
          <w:sz w:val="17"/>
          <w:szCs w:val="17"/>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Convertible Promissory Notes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Frazier Convertible Note Financing</w:t>
      </w:r>
    </w:p>
    <w:p>
      <w:pPr>
        <w:spacing w:after="0" w:line="18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From January 2018 to April 2019, the Company issued convertible promissory notes to Frazier (the “Frazier Notes”) for an aggregate of $2.4 million and bearing interest at per annum rates ranging from 1.68% to 2.55%. Of the Frazier Notes, $1.9 million were issued in 2018 and $0.5 million were issued in April 2019. Due to certain embedded features within the Frazier Notes, the Company elected to account for these notes and all their embedded features under the fair value option. The Company recorded changes in the fair value of the Frazier Notes in the statements of operations until May 2019, when the Frazier Notes and related accrued interest were exchanged, at their then fair value of $2.4 million, for the convertible promissory notes issued by the Company in May 2019 (the “May 2019 Notes”). For the three months ended March 31, 2020 and 2019, the Company recognized $0 and $14,000, respectively, of other expense in the statements of operations related to changes in the fair value of the Frazier Notes. For the three months ended March 31, 2020 and 2019, the Company recognized $0, and $11,000, respectively, of interest expense in connection with the Frazier Notes.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2019 Convertible Note Financing</w:t>
      </w:r>
    </w:p>
    <w:p>
      <w:pPr>
        <w:spacing w:after="0" w:line="198"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In May 2019, the Company entered into a note purchase agreement under which it issued the unsecured May 2019 Notes for an aggregate of $90.3 million, resulting in gross proceeds to the Company of $87.8 million in cash and $2.4 million related to the exchange of the Frazier Notes and related accrued interest for the May 2019 Notes. Including the conversion of the Frazier Notes, Frazier purchased $20.0 million of the May 2019 Notes. The May 2019 Notes bore interest at a rate of 6% per annum and were subordinated to borrowings under the Company’s loan and security agreement (see Note 7).</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Due to certain embedded features within the May 2019 Notes, the Company elected to account for these notes and all their embedded features under the fair value option. The outstanding principal and accrued interest of the May 2019 Notes automatically converted into 6,107,918 shares of common stock immediately prior to the completion of the IPO on October 29,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 Commitments</w:t>
      </w:r>
    </w:p>
    <w:p>
      <w:pPr>
        <w:spacing w:after="0" w:line="189"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August 2019, the Company entered into an operating lease with a 65-month term for 10,043 rentable square feet of office space for offices located in Buffalo Grove, Illinois. The lease contains an option to extend the term for one additional five-year period, which was not considered in the determination of the right-of-use asset or the lease liability as the Company did not consider it reasonably certain that it would exercise such option. The Company's lease provides for fixed monthly payments for the term of the lease, with monthly rent increasing approximately 3% every 12 months following the commencement date. The total rent expense for the three months ended March 31, 2020 was approximately $83,000. There was no rent expense for the three months ended March 31, 2019.</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supplemental balance sheet information related to the operating lease as of March 31, 2020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41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40" w:type="dxa"/>
            <w:vAlign w:val="bottom"/>
            <w:gridSpan w:val="2"/>
          </w:tcPr>
          <w:p>
            <w:pPr>
              <w:jc w:val="right"/>
              <w:ind w:right="207"/>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6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Operating lease right-of-use assets</w:t>
            </w:r>
          </w:p>
        </w:tc>
        <w:tc>
          <w:tcPr>
            <w:tcW w:w="12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right-of-use assets</w:t>
            </w:r>
          </w:p>
        </w:tc>
        <w:tc>
          <w:tcPr>
            <w:tcW w:w="12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Operating lease liabilities, current</w:t>
            </w: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lease liabilities, non-current</w:t>
            </w:r>
          </w:p>
        </w:tc>
        <w:tc>
          <w:tcPr>
            <w:tcW w:w="12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1220" w:type="dxa"/>
            <w:vAlign w:val="bottom"/>
          </w:tcPr>
          <w:p>
            <w:pPr>
              <w:spacing w:after="0"/>
              <w:rPr>
                <w:sz w:val="19"/>
                <w:szCs w:val="19"/>
                <w:color w:val="auto"/>
              </w:rPr>
            </w:pPr>
          </w:p>
        </w:tc>
        <w:tc>
          <w:tcPr>
            <w:tcW w:w="1220" w:type="dxa"/>
            <w:vAlign w:val="bottom"/>
            <w:tcBorders>
              <w:bottom w:val="single" w:sz="8" w:color="auto"/>
            </w:tcBorders>
          </w:tcPr>
          <w:p>
            <w:pPr>
              <w:jc w:val="right"/>
              <w:ind w:right="10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2020, the future minimum annual lease payments under the operating lease were as follows (in thousands):</w:t>
      </w:r>
    </w:p>
    <w:p>
      <w:pPr>
        <w:sectPr>
          <w:pgSz w:w="11900" w:h="16838" w:orient="portrait"/>
          <w:cols w:equalWidth="0" w:num="1">
            <w:col w:w="11240"/>
          </w:cols>
          <w:pgMar w:left="320" w:top="121" w:right="339" w:bottom="1440" w:gutter="0" w:footer="0" w:header="0"/>
        </w:sectPr>
      </w:pPr>
    </w:p>
    <w:p>
      <w:pPr>
        <w:spacing w:after="0" w:line="23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minimum lease payments</w:t>
      </w:r>
    </w:p>
    <w:p>
      <w:pPr>
        <w:spacing w:after="0" w:line="29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amount representing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Present value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operating lease liabilities, current</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570039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7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Weighted-average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29210</wp:posOffset>
            </wp:positionV>
            <wp:extent cx="570039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Weighted-average incremental borrowing rate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right"/>
              <w:ind w:right="1149"/>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110</w:t>
            </w:r>
          </w:p>
        </w:tc>
      </w:tr>
      <w:tr>
        <w:trPr>
          <w:trHeight w:val="22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171</w:t>
            </w: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176</w:t>
            </w: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181</w:t>
            </w: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186</w:t>
            </w:r>
          </w:p>
        </w:tc>
      </w:tr>
      <w:tr>
        <w:trPr>
          <w:trHeight w:val="230"/>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80</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1149"/>
              <w:spacing w:after="0"/>
              <w:rPr>
                <w:sz w:val="20"/>
                <w:szCs w:val="20"/>
                <w:color w:val="auto"/>
              </w:rPr>
            </w:pPr>
            <w:r>
              <w:rPr>
                <w:rFonts w:ascii="Arial" w:cs="Arial" w:eastAsia="Arial" w:hAnsi="Arial"/>
                <w:sz w:val="10"/>
                <w:szCs w:val="10"/>
                <w:color w:val="auto"/>
                <w:w w:val="71"/>
              </w:rPr>
              <w:t>$</w:t>
            </w: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904</w:t>
            </w: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(150)</w:t>
            </w: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754</w:t>
            </w:r>
          </w:p>
        </w:tc>
      </w:tr>
      <w:tr>
        <w:trPr>
          <w:trHeight w:val="230"/>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1149"/>
              <w:spacing w:after="0"/>
              <w:rPr>
                <w:sz w:val="20"/>
                <w:szCs w:val="20"/>
                <w:color w:val="auto"/>
              </w:rPr>
            </w:pPr>
            <w:r>
              <w:rPr>
                <w:rFonts w:ascii="Arial" w:cs="Arial" w:eastAsia="Arial" w:hAnsi="Arial"/>
                <w:sz w:val="10"/>
                <w:szCs w:val="10"/>
                <w:color w:val="auto"/>
                <w:w w:val="71"/>
              </w:rPr>
              <w:t>$</w:t>
            </w: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606</w:t>
            </w: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5.08</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7.25%</w:t>
            </w:r>
          </w:p>
        </w:tc>
      </w:tr>
    </w:tbl>
    <w:p>
      <w:pPr>
        <w:spacing w:after="0" w:line="200" w:lineRule="exact"/>
        <w:rPr>
          <w:sz w:val="20"/>
          <w:szCs w:val="20"/>
          <w:color w:val="auto"/>
        </w:rPr>
      </w:pPr>
    </w:p>
    <w:p>
      <w:pPr>
        <w:sectPr>
          <w:pgSz w:w="11900" w:h="16838" w:orient="portrait"/>
          <w:cols w:equalWidth="0" w:num="2">
            <w:col w:w="6400" w:space="720"/>
            <w:col w:w="4120"/>
          </w:cols>
          <w:pgMar w:left="320" w:top="121" w:right="339" w:bottom="1440" w:gutter="0" w:footer="0" w:header="0"/>
          <w:type w:val="continuous"/>
        </w:sectPr>
      </w:pPr>
    </w:p>
    <w:p>
      <w:pPr>
        <w:spacing w:after="0" w:line="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Operating cash flows for the three months ended March 31, 2020 included $0.3 million in cash payments for operating leases, $0.2 million of which were prepaid lease payments. There were no lease costs for the three months ended March 31, 2019.</w:t>
      </w:r>
    </w:p>
    <w:p>
      <w:pPr>
        <w:spacing w:after="0" w:line="17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In December 2019, the Company entered into a 62-month operating lease for 9,420 rentable square feet of office space in Florham Park, New Jersey. The lease contains an option to extend the term for one additional five-year period, which will not be considered in the determination of the right-of-use asset or the lease liability as the Company is not reasonably certain that it would exercise such option. </w:t>
      </w:r>
      <w:r>
        <w:rPr>
          <w:rFonts w:ascii="Arial" w:cs="Arial" w:eastAsia="Arial" w:hAnsi="Arial"/>
          <w:sz w:val="18"/>
          <w:szCs w:val="18"/>
          <w:color w:val="212529"/>
        </w:rPr>
        <w:t>The Company has future minimum lease payment</w:t>
      </w:r>
      <w:r>
        <w:rPr>
          <w:rFonts w:ascii="Arial" w:cs="Arial" w:eastAsia="Arial" w:hAnsi="Arial"/>
          <w:sz w:val="18"/>
          <w:szCs w:val="18"/>
          <w:color w:val="auto"/>
        </w:rPr>
        <w:t xml:space="preserve"> </w:t>
      </w:r>
      <w:r>
        <w:rPr>
          <w:rFonts w:ascii="Arial" w:cs="Arial" w:eastAsia="Arial" w:hAnsi="Arial"/>
          <w:sz w:val="18"/>
          <w:szCs w:val="18"/>
          <w:color w:val="212529"/>
        </w:rPr>
        <w:t>obligations of approximately $1.7 million related to the leased office space. The lease liability and the corresponding right-of-use asset associated with this lease obligation will be recorded upon the commencement of the lease, or the date in which the underlying asset is made available for use to the Company, which had not occurred as of March 31, 2020.</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Long-term debt consists of the following (in thousands):</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277"/>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5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50,000</w:t>
            </w: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Unamortized debt discount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w:t>
            </w: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net of debt discount</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45,913</w:t>
            </w: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231F20"/>
        </w:rPr>
        <w:t>On May 14, 2019, the Company entered into a loan and security agreement (the “Loan Agreement”, and all amounts borrowed thereunder the “Term Loans”) with Silicon Valley Bank (“SVB”), as administrative and collateral agent, and lenders including SVB and WestRiver Innovation Lending Fund VIII, L.P. (“WestRiver”). The Company borrowed $25.0 million (“Term Loan A”) at the inception of the Loan Agreement and an additional $25.0 million (“Term Loan B”) on March 16, 2020.</w:t>
      </w:r>
    </w:p>
    <w:p>
      <w:pPr>
        <w:spacing w:after="0" w:line="14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 xml:space="preserve">The Term Loans bear interest at a floating rate of the higher of the Wall Street Journal Prime rate plus 1.75% (5% at March 31, 2020) or 7.25%. Under the original Loan Agreement, monthly payments consisted of interest-only through May 31, 2021. On March 11, 2020, the Company entered into the first amendment (the “Amendment”) to the Loan Agreement. Pursuant to the Amendment, the interest-only payment period was extended either (i) until December 31, 2021, if the Company receives positive data from its Phase 3 clinical trial in H. pylori infection sufficient to file a New Drug Application (“NDA”) with the U.S. Food and Drug Administration (“FDA”); or (ii) until November 30, 2022, if the Company receives positive data from its Phase 3 clinical trials in both indications for vonoprazan sufficient to file an NDA with the FDA; </w:t>
      </w:r>
      <w:r>
        <w:rPr>
          <w:rFonts w:ascii="Arial" w:cs="Arial" w:eastAsia="Arial" w:hAnsi="Arial"/>
          <w:sz w:val="17"/>
          <w:szCs w:val="17"/>
          <w:color w:val="000000"/>
        </w:rPr>
        <w:t>provided, in each case, that the Company had drawn down an</w:t>
      </w:r>
      <w:r>
        <w:rPr>
          <w:rFonts w:ascii="Arial" w:cs="Arial" w:eastAsia="Arial" w:hAnsi="Arial"/>
          <w:sz w:val="17"/>
          <w:szCs w:val="17"/>
          <w:color w:val="231F20"/>
        </w:rPr>
        <w:t xml:space="preserve"> </w:t>
      </w:r>
      <w:r>
        <w:rPr>
          <w:rFonts w:ascii="Arial" w:cs="Arial" w:eastAsia="Arial" w:hAnsi="Arial"/>
          <w:sz w:val="17"/>
          <w:szCs w:val="17"/>
          <w:color w:val="000000"/>
        </w:rPr>
        <w:t xml:space="preserve">additional $25.0 million, Term Loan B, pursuant to the Loan Agreement. </w:t>
      </w:r>
      <w:r>
        <w:rPr>
          <w:rFonts w:ascii="Arial" w:cs="Arial" w:eastAsia="Arial" w:hAnsi="Arial"/>
          <w:sz w:val="17"/>
          <w:szCs w:val="17"/>
          <w:color w:val="231F20"/>
        </w:rPr>
        <w:t>Subsequent to the interest-only period, the Term Loans will be payable in equal</w:t>
      </w:r>
      <w:r>
        <w:rPr>
          <w:rFonts w:ascii="Arial" w:cs="Arial" w:eastAsia="Arial" w:hAnsi="Arial"/>
          <w:sz w:val="17"/>
          <w:szCs w:val="17"/>
          <w:color w:val="000000"/>
        </w:rPr>
        <w:t xml:space="preserve"> </w:t>
      </w:r>
      <w:r>
        <w:rPr>
          <w:rFonts w:ascii="Arial" w:cs="Arial" w:eastAsia="Arial" w:hAnsi="Arial"/>
          <w:sz w:val="17"/>
          <w:szCs w:val="17"/>
          <w:color w:val="231F20"/>
        </w:rPr>
        <w:t>monthly installments of principal, plus accrued and unpaid interest through the maturity date of May 1, 2024. In addition, the Company is obligated to pay a final payment fee of 8.25% of the original principal amount of the Term Loans. As of March 31, 2020, the aggregate final payment fee for the Term Loans of $4.1 million has been recorded as an other long-term liability.</w:t>
      </w:r>
    </w:p>
    <w:p>
      <w:pPr>
        <w:spacing w:after="0" w:line="14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231F20"/>
        </w:rPr>
        <w:t>The Company may elect to prepay all or a portion of the Term Loans prior to maturity, subject to a prepayment fee of up to 2.0% of the then</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231F20"/>
        </w:rPr>
        <w:t>outstanding principal balance and payment of a pro rata portion of the final payment fee. After repayment, no Term Loan amounts may be borrowed again.</w:t>
      </w:r>
    </w:p>
    <w:p>
      <w:pPr>
        <w:spacing w:after="0" w:line="207"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The borrowings under the Loan Agreement are collateralized by substantially all of the Company’s assets, excluding intellectual property and certain other assets. The Loan Agreement includes affirmative and negative covenants. The affirmative covenants include, among others, covenants requiring the Company to maintain its legal existence and governmental approvals, deliver certain financial reports, maintain insurance coverage and satisfy certain requirements regarding its operating accounts. The negative covenants include, among others, limitations on the Company’s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The Loan Agreement also contains customary events of default, including bankruptcy, the failure to make payments when due, and a material adverse change. Upon the occurrence of an event of default, subject to any specified cure periods, all amounts owed by the Company would begin to bear interest at a rate that is 4.00% above the rate effective immediately before the event of default and may be declared immediately due and payable by SVB, as collateral agent. As of March 31, 2020, the Company was in compliance with all applicable covenants under the Loan Agreement.</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connection with the Loan Agreement, the Company issued the Lender Warrants to purchase stock of the Company, which expire ten years from the date of issuance. Upon completion of the IPO in 2019, the Lender Warrants became exercisable for 16,446 shares of common stock. The Lender Warrants included a put option pursuant to which, in the event that the Company did not draw down Term Loan B on or before March 31, 2020, the warrant holders could have required that the Company repurchase the warrants for a total aggregate repurchase price of $0.5 million. Upon the Term Loan B draw in March 2020, the Lender Warrants became exercisable and the put option related to the Lender Warrants expired. Accordingly, the Company recorded a final fair value adjustment and reclassified the Lender Warrants balance of $0.3 million to additional paid-in-capital.</w:t>
      </w:r>
    </w:p>
    <w:p>
      <w:pPr>
        <w:spacing w:after="0" w:line="137"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The initial $0.4 million fair value of the Lender Warrants, the $4.1 million final payment fee and $0.2 million of debt issuance costs have been recorded as debt discount and are being amortized to interest expense using the effective interest method over the term of the Term Loans. For the three months ended March 31, 2020, the Company recognized $0.7 million of interest expense, including amortization of the debt discount, in connection with the Loan Agreement. As of March 31, 2020, the Company had outstanding Term Loans of $50.0 million and accrued interest of $0.2 million.</w:t>
      </w:r>
    </w:p>
    <w:p>
      <w:pPr>
        <w:spacing w:after="0" w:line="11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Future minimum principal and interest payments under the Term Loans, including the final payment fee, as of March 31, 2020 are as follows (in thousands):</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3860" w:type="dxa"/>
            <w:vAlign w:val="bottom"/>
          </w:tcPr>
          <w:p>
            <w:pPr>
              <w:jc w:val="right"/>
              <w:ind w:right="3170"/>
              <w:spacing w:after="0"/>
              <w:rPr>
                <w:sz w:val="20"/>
                <w:szCs w:val="20"/>
                <w:color w:val="auto"/>
              </w:rPr>
            </w:pPr>
            <w:r>
              <w:rPr>
                <w:rFonts w:ascii="Arial" w:cs="Arial" w:eastAsia="Arial" w:hAnsi="Arial"/>
                <w:sz w:val="18"/>
                <w:szCs w:val="18"/>
                <w:color w:val="auto"/>
              </w:rPr>
              <w:t>2020</w:t>
            </w:r>
          </w:p>
        </w:tc>
        <w:tc>
          <w:tcPr>
            <w:tcW w:w="176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2,457</w:t>
            </w:r>
          </w:p>
        </w:tc>
      </w:tr>
      <w:tr>
        <w:trPr>
          <w:trHeight w:val="230"/>
        </w:trPr>
        <w:tc>
          <w:tcPr>
            <w:tcW w:w="3860" w:type="dxa"/>
            <w:vAlign w:val="bottom"/>
            <w:shd w:val="clear" w:color="auto" w:fill="CFF0FC"/>
          </w:tcPr>
          <w:p>
            <w:pPr>
              <w:jc w:val="right"/>
              <w:ind w:right="3170"/>
              <w:spacing w:after="0"/>
              <w:rPr>
                <w:sz w:val="20"/>
                <w:szCs w:val="20"/>
                <w:color w:val="auto"/>
              </w:rPr>
            </w:pPr>
            <w:r>
              <w:rPr>
                <w:rFonts w:ascii="Arial" w:cs="Arial" w:eastAsia="Arial" w:hAnsi="Arial"/>
                <w:sz w:val="18"/>
                <w:szCs w:val="18"/>
                <w:color w:val="auto"/>
              </w:rPr>
              <w:t>2021</w:t>
            </w: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13,218</w:t>
            </w:r>
          </w:p>
        </w:tc>
      </w:tr>
      <w:tr>
        <w:trPr>
          <w:trHeight w:val="229"/>
        </w:trPr>
        <w:tc>
          <w:tcPr>
            <w:tcW w:w="3860" w:type="dxa"/>
            <w:vAlign w:val="bottom"/>
          </w:tcPr>
          <w:p>
            <w:pPr>
              <w:jc w:val="right"/>
              <w:ind w:right="3170"/>
              <w:spacing w:after="0"/>
              <w:rPr>
                <w:sz w:val="20"/>
                <w:szCs w:val="20"/>
                <w:color w:val="auto"/>
              </w:rPr>
            </w:pPr>
            <w:r>
              <w:rPr>
                <w:rFonts w:ascii="Arial" w:cs="Arial" w:eastAsia="Arial" w:hAnsi="Arial"/>
                <w:sz w:val="18"/>
                <w:szCs w:val="18"/>
                <w:color w:val="auto"/>
              </w:rPr>
              <w:t>2022</w:t>
            </w: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19,065</w:t>
            </w:r>
          </w:p>
        </w:tc>
      </w:tr>
      <w:tr>
        <w:trPr>
          <w:trHeight w:val="229"/>
        </w:trPr>
        <w:tc>
          <w:tcPr>
            <w:tcW w:w="3860" w:type="dxa"/>
            <w:vAlign w:val="bottom"/>
            <w:shd w:val="clear" w:color="auto" w:fill="CFF0FC"/>
          </w:tcPr>
          <w:p>
            <w:pPr>
              <w:jc w:val="right"/>
              <w:ind w:right="3170"/>
              <w:spacing w:after="0"/>
              <w:rPr>
                <w:sz w:val="20"/>
                <w:szCs w:val="20"/>
                <w:color w:val="auto"/>
              </w:rPr>
            </w:pPr>
            <w:r>
              <w:rPr>
                <w:rFonts w:ascii="Arial" w:cs="Arial" w:eastAsia="Arial" w:hAnsi="Arial"/>
                <w:sz w:val="18"/>
                <w:szCs w:val="18"/>
                <w:color w:val="auto"/>
              </w:rPr>
              <w:t>2023</w:t>
            </w: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17,840</w:t>
            </w:r>
          </w:p>
        </w:tc>
      </w:tr>
      <w:tr>
        <w:trPr>
          <w:trHeight w:val="230"/>
        </w:trPr>
        <w:tc>
          <w:tcPr>
            <w:tcW w:w="3860" w:type="dxa"/>
            <w:vAlign w:val="bottom"/>
            <w:tcBorders>
              <w:bottom w:val="single" w:sz="8" w:color="CFF0FC"/>
            </w:tcBorders>
          </w:tcPr>
          <w:p>
            <w:pPr>
              <w:jc w:val="right"/>
              <w:ind w:right="3170"/>
              <w:spacing w:after="0"/>
              <w:rPr>
                <w:sz w:val="20"/>
                <w:szCs w:val="20"/>
                <w:color w:val="auto"/>
              </w:rPr>
            </w:pPr>
            <w:r>
              <w:rPr>
                <w:rFonts w:ascii="Arial" w:cs="Arial" w:eastAsia="Arial" w:hAnsi="Arial"/>
                <w:sz w:val="18"/>
                <w:szCs w:val="18"/>
                <w:color w:val="auto"/>
              </w:rPr>
              <w:t>2024</w:t>
            </w:r>
          </w:p>
        </w:tc>
        <w:tc>
          <w:tcPr>
            <w:tcW w:w="1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11,198</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principal and interest payments</w:t>
            </w: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63,778</w:t>
            </w:r>
          </w:p>
        </w:tc>
      </w:tr>
      <w:tr>
        <w:trPr>
          <w:trHeight w:val="230"/>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 and final payment fee</w:t>
            </w:r>
          </w:p>
        </w:tc>
        <w:tc>
          <w:tcPr>
            <w:tcW w:w="1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(13,778)</w:t>
            </w:r>
          </w:p>
        </w:tc>
      </w:tr>
      <w:tr>
        <w:trPr>
          <w:trHeight w:val="223"/>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50,000</w:t>
            </w:r>
          </w:p>
        </w:tc>
      </w:tr>
      <w:tr>
        <w:trPr>
          <w:trHeight w:val="20"/>
        </w:trPr>
        <w:tc>
          <w:tcPr>
            <w:tcW w:w="3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March 2019, subsequent to the Merger, the Company sold 1,491,072 shares of the Company’s common stock to Frazier.</w:t>
      </w:r>
    </w:p>
    <w:p>
      <w:pPr>
        <w:spacing w:after="0" w:line="18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March 2019, the founders granted the Company a repurchase right for the 3,373,408 shares of common stock originally purchased in 2018. The Company has the right, but not the obligation, to repurchase unvested shares in the event the founder’s relationship with the Company is terminated, subject to certain limitations,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compensation expense on a straight-line basis over the vesting period. As of March 31, 2020, 1,897,560 shares of common stock were subject to repurchase by the Company and the associated repurchase liability was not significant. The amount of recognized and unrecognized stock-based compensation related to the founder stock was immaterial for all periods presented.</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2019, the Company issued Takeda 1,084,000 shares of common stock in connection with the Takeda License.</w:t>
      </w:r>
    </w:p>
    <w:p>
      <w:pPr>
        <w:spacing w:after="0" w:line="198"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For the period from January 1, 2019 to May 6, 2019, the Company issued 2,524,852 shares of common stock to various employees and consultants of the Company for aggregate proceeds of approximately $1,000. Upon issuance, these shares were subject to a repurchase option by the Company at the original purchase price of the shares. The repurchase rights generally lapse as to 25% of the shares on the first anniversary of the vesting commencement date, and the repurchase right lapses as to 1/48th of the shares each one-month period thereafter, subject to the purchaser remaining continuously an employee, consultant or director of the Company. In November 2019, the Company repurchased 17,560 shares at the original purchase price for an aggregate purchase price of $5.20. As of March 31, 2020, 1,913,393 shares remain available for repurchase by the Company and the associated repurchase liability was not significant.</w:t>
      </w:r>
    </w:p>
    <w:p>
      <w:pPr>
        <w:spacing w:after="0" w:line="15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On October 29, 2019, upon completion of the IPO, the Company sold 10,997,630 shares of common stock, which included the exercise in full by the underwriters of their option to purchase 1,434,473 additional shares at a public offering price of $19.00 per share. The net proceeds were approximately $191.5 million, after deducting underwriting discounts, commissions and offering costs.</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98"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The Company’s 2019 Equity Incentive Plan (the “Existing Incentive Plan”) provides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Existing Incentive Plan, of which, 1,400,528 stock options and 16,260 restricted stock awards were granted in 2019. As a result of the adoption of the 2019 Incentive Award Plan (the “2019 Plan”) in October 2019, no further shares are available for issuance under the Existing Incentive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85"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 with the maximum number of shares to be added to the 2019 Plan pursuant to clause (i) above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 The Company initially had 2,700,000 shares of common stock available for issuance under the 2019 Plan, of which, 134,227 stock options were granted. As of March 31, 2020, 3,724,353 shares remain available for issuance, which includes the annual increase of 1,158,580 shares that were authorized on January 1,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October 2019, the board of directors adopted, and the Company’s stockholders approved, the Employee Stock Purchase Plan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was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March 31, 2020, 559,645 shares of common stock remain available for issuance, which includes the annual increase of 289,645 shares that were authorized on January 1, 2020.</w:t>
      </w:r>
    </w:p>
    <w:p>
      <w:pPr>
        <w:spacing w:after="0" w:line="140"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A summary of the Company’s unvested shares is as follows: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vMerge w:val="continue"/>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4,236,248</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5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 vesting</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(425,295)</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3,810,953</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accounting purposes, unvested shares of common stock are considered issued, but not outstanding until they vest.</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consists of the following:</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500" w:type="dxa"/>
            <w:vAlign w:val="bottom"/>
          </w:tcPr>
          <w:p>
            <w:pPr>
              <w:jc w:val="right"/>
              <w:ind w:right="395"/>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24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5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7,604,446</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1,534,755</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issuance under the 2019 Incentive Plan</w:t>
            </w:r>
          </w:p>
        </w:tc>
        <w:tc>
          <w:tcPr>
            <w:tcW w:w="15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3,724,353</w:t>
            </w: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available for issuance under the ESPP Plan</w:t>
            </w: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559,645</w:t>
            </w: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15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13,423,199</w:t>
            </w:r>
          </w:p>
        </w:tc>
      </w:tr>
      <w:tr>
        <w:trPr>
          <w:trHeight w:val="20"/>
        </w:trPr>
        <w:tc>
          <w:tcPr>
            <w:tcW w:w="5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it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9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6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4"/>
              </w:rPr>
              <w:t>Remaining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9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Outstanding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37"/>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1,400,528</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30,874</w:t>
            </w:r>
          </w:p>
        </w:tc>
        <w:tc>
          <w:tcPr>
            <w:tcW w:w="0" w:type="dxa"/>
            <w:vAlign w:val="bottom"/>
          </w:tcPr>
          <w:p>
            <w:pPr>
              <w:spacing w:after="0"/>
              <w:rPr>
                <w:sz w:val="1"/>
                <w:szCs w:val="1"/>
                <w:color w:val="auto"/>
              </w:rPr>
            </w:pPr>
          </w:p>
        </w:tc>
      </w:tr>
      <w:tr>
        <w:trPr>
          <w:trHeight w:val="230"/>
        </w:trPr>
        <w:tc>
          <w:tcPr>
            <w:tcW w:w="36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134,227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 and shares vested</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Options cancelled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1,534,755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22,273</w:t>
            </w:r>
          </w:p>
        </w:tc>
        <w:tc>
          <w:tcPr>
            <w:tcW w:w="0" w:type="dxa"/>
            <w:vAlign w:val="bottom"/>
          </w:tcPr>
          <w:p>
            <w:pPr>
              <w:spacing w:after="0"/>
              <w:rPr>
                <w:sz w:val="1"/>
                <w:szCs w:val="1"/>
                <w:color w:val="auto"/>
              </w:rPr>
            </w:pPr>
          </w:p>
        </w:tc>
      </w:tr>
      <w:tr>
        <w:trPr>
          <w:trHeight w:val="215"/>
        </w:trPr>
        <w:tc>
          <w:tcPr>
            <w:tcW w:w="3600" w:type="dxa"/>
            <w:vAlign w:val="bottom"/>
          </w:tcPr>
          <w:p>
            <w:pPr>
              <w:ind w:left="240"/>
              <w:spacing w:after="0"/>
              <w:rPr>
                <w:sz w:val="20"/>
                <w:szCs w:val="20"/>
                <w:color w:val="auto"/>
              </w:rPr>
            </w:pPr>
            <w:r>
              <w:rPr>
                <w:rFonts w:ascii="Arial" w:cs="Arial" w:eastAsia="Arial" w:hAnsi="Arial"/>
                <w:sz w:val="18"/>
                <w:szCs w:val="18"/>
                <w:color w:val="auto"/>
              </w:rPr>
              <w:t>Options exercisable as of March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380"/>
              <w:spacing w:after="0"/>
              <w:rPr>
                <w:sz w:val="20"/>
                <w:szCs w:val="20"/>
                <w:color w:val="auto"/>
              </w:rPr>
            </w:pPr>
            <w:r>
              <w:rPr>
                <w:rFonts w:ascii="Arial" w:cs="Arial" w:eastAsia="Arial" w:hAnsi="Arial"/>
                <w:sz w:val="18"/>
                <w:szCs w:val="18"/>
                <w:color w:val="auto"/>
              </w:rPr>
              <w:t>2020</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estimated weighted-average fair value of employee and nonemployee director stock options granted during the three months ended March 31, 2020 was $19.92. As of March 31, 2020, the Company had $9.0 million of unrecognized stock-based compensation expense, which is expected to be recognized over a weighted-average period of 3.56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weighted-average assumptions used to estimate the fair value of stock options using the Black-Scholes option valuation model were as follows:</w:t>
      </w:r>
    </w:p>
    <w:p>
      <w:pPr>
        <w:spacing w:after="0" w:line="253"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Three Months Ended</w:t>
      </w:r>
    </w:p>
    <w:p>
      <w:pPr>
        <w:jc w:val="center"/>
        <w:ind w:left="33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5"/>
        </w:trPr>
        <w:tc>
          <w:tcPr>
            <w:tcW w:w="3420" w:type="dxa"/>
            <w:vAlign w:val="bottom"/>
            <w:tcBorders>
              <w:bottom w:val="single" w:sz="8" w:color="CFF0FC"/>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2100" w:type="dxa"/>
            <w:vAlign w:val="bottom"/>
            <w:tcBorders>
              <w:top w:val="single" w:sz="8" w:color="auto"/>
              <w:bottom w:val="single" w:sz="8" w:color="auto"/>
            </w:tcBorders>
          </w:tcPr>
          <w:p>
            <w:pPr>
              <w:ind w:left="860"/>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Assumptions:</w:t>
            </w:r>
          </w:p>
        </w:tc>
        <w:tc>
          <w:tcPr>
            <w:tcW w:w="1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r>
      <w:tr>
        <w:trPr>
          <w:trHeight w:val="229"/>
        </w:trPr>
        <w:tc>
          <w:tcPr>
            <w:tcW w:w="4780" w:type="dxa"/>
            <w:vAlign w:val="bottom"/>
            <w:gridSpan w:val="2"/>
          </w:tcPr>
          <w:p>
            <w:pPr>
              <w:ind w:left="240"/>
              <w:spacing w:after="0"/>
              <w:rPr>
                <w:sz w:val="20"/>
                <w:szCs w:val="20"/>
                <w:color w:val="auto"/>
              </w:rPr>
            </w:pPr>
            <w:r>
              <w:rPr>
                <w:rFonts w:ascii="Arial" w:cs="Arial" w:eastAsia="Arial" w:hAnsi="Arial"/>
                <w:sz w:val="18"/>
                <w:szCs w:val="18"/>
                <w:color w:val="auto"/>
              </w:rPr>
              <w:t>Expected term (in years)</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19"/>
                <w:szCs w:val="19"/>
                <w:color w:val="auto"/>
              </w:rPr>
            </w:pPr>
          </w:p>
        </w:tc>
        <w:tc>
          <w:tcPr>
            <w:tcW w:w="2100" w:type="dxa"/>
            <w:vAlign w:val="bottom"/>
          </w:tcPr>
          <w:p>
            <w:pPr>
              <w:ind w:left="1840"/>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62.63%</w:t>
            </w:r>
          </w:p>
        </w:tc>
        <w:tc>
          <w:tcPr>
            <w:tcW w:w="160" w:type="dxa"/>
            <w:vAlign w:val="bottom"/>
            <w:shd w:val="clear" w:color="auto" w:fill="CFF0FC"/>
          </w:tcPr>
          <w:p>
            <w:pPr>
              <w:spacing w:after="0"/>
              <w:rPr>
                <w:sz w:val="19"/>
                <w:szCs w:val="19"/>
                <w:color w:val="auto"/>
              </w:rPr>
            </w:pPr>
          </w:p>
        </w:tc>
        <w:tc>
          <w:tcPr>
            <w:tcW w:w="2100" w:type="dxa"/>
            <w:vAlign w:val="bottom"/>
            <w:shd w:val="clear" w:color="auto" w:fill="CFF0FC"/>
          </w:tcPr>
          <w:p>
            <w:pPr>
              <w:ind w:left="1840"/>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gridSpan w:val="2"/>
          </w:tcPr>
          <w:p>
            <w:pPr>
              <w:ind w:left="240"/>
              <w:spacing w:after="0"/>
              <w:rPr>
                <w:sz w:val="20"/>
                <w:szCs w:val="20"/>
                <w:color w:val="auto"/>
              </w:rPr>
            </w:pPr>
            <w:r>
              <w:rPr>
                <w:rFonts w:ascii="Arial" w:cs="Arial" w:eastAsia="Arial" w:hAnsi="Arial"/>
                <w:sz w:val="18"/>
                <w:szCs w:val="18"/>
                <w:color w:val="auto"/>
              </w:rPr>
              <w:t>Risk free interest rate</w:t>
            </w: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9"/>
                <w:szCs w:val="19"/>
                <w:color w:val="auto"/>
              </w:rPr>
            </w:pPr>
          </w:p>
        </w:tc>
        <w:tc>
          <w:tcPr>
            <w:tcW w:w="2100" w:type="dxa"/>
            <w:vAlign w:val="bottom"/>
          </w:tcPr>
          <w:p>
            <w:pPr>
              <w:ind w:left="1840"/>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9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ind w:left="18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Stock-based compensation expense recognized for all equity awards, including founder stock, has been reported in the statements of operations as follows (in thousands):</w:t>
      </w:r>
    </w:p>
    <w:p>
      <w:pPr>
        <w:spacing w:after="0" w:line="175"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Three Months Ended</w:t>
      </w:r>
    </w:p>
    <w:p>
      <w:pPr>
        <w:jc w:val="center"/>
        <w:ind w:left="33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5"/>
        </w:trPr>
        <w:tc>
          <w:tcPr>
            <w:tcW w:w="300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89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4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2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ind w:left="1380"/>
              <w:spacing w:after="0"/>
              <w:rPr>
                <w:sz w:val="20"/>
                <w:szCs w:val="20"/>
                <w:color w:val="auto"/>
              </w:rPr>
            </w:pPr>
            <w:r>
              <w:rPr>
                <w:rFonts w:ascii="Arial" w:cs="Arial" w:eastAsia="Arial" w:hAnsi="Arial"/>
                <w:sz w:val="18"/>
                <w:szCs w:val="18"/>
                <w:color w:val="auto"/>
              </w:rPr>
              <w:t>—</w:t>
            </w:r>
          </w:p>
        </w:tc>
      </w:tr>
      <w:tr>
        <w:trPr>
          <w:trHeight w:val="230"/>
        </w:trPr>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42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2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ind w:left="1380"/>
              <w:spacing w:after="0"/>
              <w:rPr>
                <w:sz w:val="20"/>
                <w:szCs w:val="20"/>
                <w:color w:val="auto"/>
              </w:rPr>
            </w:pPr>
            <w:r>
              <w:rPr>
                <w:rFonts w:ascii="Arial" w:cs="Arial" w:eastAsia="Arial" w:hAnsi="Arial"/>
                <w:sz w:val="18"/>
                <w:szCs w:val="18"/>
                <w:color w:val="auto"/>
              </w:rPr>
              <w:t>—</w:t>
            </w:r>
          </w:p>
        </w:tc>
      </w:tr>
      <w:tr>
        <w:trPr>
          <w:trHeight w:val="20"/>
        </w:trPr>
        <w:tc>
          <w:tcPr>
            <w:tcW w:w="3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18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May 5, 2020, the Company entered into a Commercial Supply Agreement (the “Commercial Supply Agreement”) with Takeda, pursuant to which Takeda will supply commercial quantities of vonoprazan bulk drug product. Pursuant to the Commercial Supply Agreement, Takeda has agreed to supply the Company with and the Company has agreed to purchase from Takeda certain quantities of vonoprazan bulk drug product according to approved specifications at a fixed price per batch of bulk drug product in order to commercialize vonoprazan in accordance with the Takeda License. Unless terminated earlier, the term of the Commercial Supply Agreement extends for a period of two years from the date the Company places an order for bulk drug product for the first commercial launch of vonoprazan in any jurisdiction in the licensed territory, provided that this two-year period will expire no later than December 31, 2023. The Commercial Supply Agreement will terminate immediately upon the termination of the Takeda License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1" w:name="page22"/>
    <w:bookmarkEnd w:id="21"/>
    <w:p>
      <w:pPr>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unaudited interim financial statements and notes thereto included in this Quarterly Report on Form 10-Q and with our audited financial statements and notes thereto for the year ended December 31, 2019 and the related Management’s Discussion and Analysis of Financial Condition and Results of Operations, both of which are contained in our Annual Report on Form 10-K for the year ended December 31, 2019 (“2019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research and development plans and costs, the impact of the COVID-19 pandemic,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 xml:space="preserve">We are a late clinical-stage biopharmaceutical company focused on developing and commercializing novel treatments for gastrointestinal, or GI diseases. Our initial product candidate, vonoprazan, is an oral small molecule potassium competitive acid blocker, or P-CAB. P-CABs are a novel class of medicines that block acid secretion in the stomach. Vonoprazan has shown rapid, potent, and durable anti-secretory effects and has demonstrated clinical benefits over the current standard of care as a single agent in the treatment of gastroesophageal reflux disease, or GERD, and in combination with antibiotics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Takeda Pharmaceutical Company Limited, or Takeda developed vonoprazan and has received marketing approval in thirteen countries in Asia and Latin America. Vonoprazan generated over $500 million in net sales in its fourth full year on the market since its approval in Japan in late 2014. In May 2019, we in-licensed the U.S., European, and Canadian rights to vonoprazan from Takeda. We initiated two pivotal Phase 3 clinical trials in the fourth quarter of 2019 for vonoprazan: one for the treatment of erosive GERD (PHALCON-EE), also known as erosive esophagitis, and a second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(PHALCON-HP). We have received qualified infectious disease product, or QIDP, and Fast Track designations from the U.S. Food and Drug Administration, or FDA, for vonoprazan in combination with certain antibiotics for the treatment of H. pylori infection. QIDP designation also provides potential eligibility for priority review and extension of any regulatory exclusivity awarded, if approved. Vonoprazan has the potential to be the first gastric anti-secretory agent from a novel class approved in the United States, Europe, or Canada in over 30 years.</w:t>
      </w:r>
    </w:p>
    <w:p>
      <w:pPr>
        <w:spacing w:after="0" w:line="15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 xml:space="preserve">In March 2020, we announced a pause in randomization of new patients in our Phase 3 trials. The decision was not based on any study-related COVID-19 infections or other safety events, but supported global efforts to combat the COVID-19 pandemic, and aligned with guidance from the American Society of Gastrointestinal Endoscopy, or ASGE, on limiting endoscopies, which are required in both Phase 3 clinical trials. Since this announcement, we have been working with our clinical trial sites to ensure uninterrupted clinical trial supply, and support the continuation of patients who were enrolled in our Phase 3 trials prior to the randomization pause while providing for their safety and the safety of physicians and other staff at the clinical trial sites. We are also working with our clinical trial sites to develop plans to resume randomization of new patients, on a site-by-site basis, taking into account a number of factors including restrictions imposed by national, state, and local governments, each site’s ability to resume based on ASGE’s recent </w:t>
      </w:r>
      <w:r>
        <w:rPr>
          <w:rFonts w:ascii="Arial" w:cs="Arial" w:eastAsia="Arial" w:hAnsi="Arial"/>
          <w:sz w:val="17"/>
          <w:szCs w:val="17"/>
          <w:i w:val="1"/>
          <w:iCs w:val="1"/>
          <w:color w:val="auto"/>
        </w:rPr>
        <w:t>Guidance for Resuming GI Endoscopy and Practice Operations After the COVID-19 Pandemic</w:t>
      </w:r>
      <w:r>
        <w:rPr>
          <w:rFonts w:ascii="Arial" w:cs="Arial" w:eastAsia="Arial" w:hAnsi="Arial"/>
          <w:sz w:val="17"/>
          <w:szCs w:val="17"/>
          <w:color w:val="auto"/>
        </w:rPr>
        <w:t xml:space="preserve"> and other prevailing professional guidelines, and the continuing evolution of the COVID-19 pandemic. To date, we have not experienced any interruption in our clinical trial supply, however, there is no guarantee that, as the COVID-19 pandemic continues, it will not disrupt our supply chain in the future.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2" w:name="page23"/>
    <w:bookmarkEnd w:id="22"/>
    <w:p>
      <w:pPr>
        <w:ind w:right="140" w:firstLine="510"/>
        <w:spacing w:after="0" w:line="291" w:lineRule="auto"/>
        <w:rPr>
          <w:sz w:val="20"/>
          <w:szCs w:val="20"/>
          <w:color w:val="auto"/>
        </w:rPr>
      </w:pPr>
      <w:r>
        <w:rPr>
          <w:rFonts w:ascii="Arial" w:cs="Arial" w:eastAsia="Arial" w:hAnsi="Arial"/>
          <w:sz w:val="16"/>
          <w:szCs w:val="16"/>
          <w:color w:val="auto"/>
        </w:rPr>
        <w:t xml:space="preserve">Despite the pause in randomization, we continue to expect that topline data will be available from both trials in 2021, and that the successful completion of our Phase 3 clinical trials, together with the existing clinical data, will support regulatory submissions in 2021 and 2022 for marketing approval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and erosive esophagitis, respectively. However, due to a number of factors, including the uncertainties regarding the COVID-19 pandemic and its potential further impact on our operations and clinical trials, our assumptions used in determining expected clinical trial timelines and regulatory filings may not be correct, and we may experience delays in the completion of such trials beyond our expected timelines and resulting delays in the filing of our regulatory submissions. Any delays in the completion of our clinical trials and regulatory filings and any disruption in our supply chain, could have a material adverse effect on our business, financial condition and results of operations.</w:t>
      </w:r>
    </w:p>
    <w:p>
      <w:pPr>
        <w:spacing w:after="0" w:line="13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to our focus on the well-being of patients currently participating in our trials, we are actively working with each study site to implement measures to avoid study protocol violations, to minimize any disruption of treatment visits, to accommodate for other patient visit delays caused by limited access to healthcare facilities, to continue monitoring and supporting patients leveraging alternative methods (e.g., phone or virtual visits), and to properly record protocol violations and other information that may be related to the COVID-19 pandemic. In this respect, we are also incorporating recent direction and flexibility provided by regulatory authorities, including the FDA in its March 18, 2020 Guidance (updated March 27, 2020) entitled “FDA Guidance on Conduct of Clinical Trials of Medicinal Products during COVID-19 Pandemic.” This guidance is continually being updated by the FDA and updates can be found on the FDA’s website at www.fda.gov. In addition, we may refer to guidance documents provided by other regulatory agencies, such as, for example, the European Medicines Agency’s “Implications of coronavirus disease (COVID-19) on methodological aspect of ongoing clinical trials” found on www.ema.europe.eu, which are also continually being updated. We will continue to evaluate the impact of the COVID-19 pandemic on our business and as additional information and guidance about its impact on our industry is available.</w:t>
      </w:r>
    </w:p>
    <w:p>
      <w:pPr>
        <w:spacing w:after="0" w:line="145"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We commenced our operations in 2018 and have devoted substantially all of our resources to date to organizing and staffing our company, business planning, raising capital, in-licensing our initial product candidate, vonoprazan, meeting with regulatory authorities, preparing for and managing our Phase 3 clinical trials of vonoprazan, and providing other general and administrative support for these operations. Our operations to date have been funded primarily through the issuance of convertible promissory notes, commercial bank debt, and the proceeds from our initial public offering, or IPO. From our inception through March 31, 2020, we have raised aggregate gross proceeds of $90.3 million from the issuance of convertible promissory notes in 2019, $50.0 million of commercial bank debt, and net proceeds from our IPO of $191.5 million from the sale of 10,997,630 shares of common stock, which included the exercise in full by the underwriters of their option to purchase 1,434,473 additional shares at a public offering price of $19.00 per share, after deducting underwriting discounts, commissions and offering costs. As of March 31, 2020, we had cash and cash equivalents of $256.7 million. Based on our current operating plan, and subject to the potential delays and cost increases resulting from the evolving COVID-19 pandemic, we believe that our existing cash and cash equivalents will be sufficient to meet our anticipated cash requirements through at least the next 24 months.</w:t>
      </w:r>
    </w:p>
    <w:p>
      <w:pPr>
        <w:spacing w:after="0" w:line="128"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We do not have any products approved for sale and have incurred net losses since our inception. Our net losses for the three month periods ended March 31, 2020 and 2019 were $20.1 million and $1.3 million, respectively. As of March 31, 2020, we had an accumulated deficit of $276.6 million. Our net losses may fluctuate significantly from quarter-to-quarter and year-to-year, depending on the timing of our clinical development activities, other research and development activities, and pre-commercialization activities. We expect our expenses and operating losses will increase substantially as we advance vonoprazan through clinical trials, seek regulatory approval for vonoprazan, expand our clinical, regulatory, quality, manufacturing and commercialization capabilities, incur significant commercialization expenses for marketing, sales, manufacturing and distribution if we obtain marketing approval for vonoprazan, protect our intellectual property, expand our general and administrative support functions, including hiring additional personnel, and incur additional costs associated with operating as a public company.</w:t>
      </w:r>
    </w:p>
    <w:p>
      <w:pPr>
        <w:spacing w:after="0" w:line="15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We have never generated any revenue and do not expect to generate any revenues from product sales unless and until we successfully complete development and obtain regulatory approval for vonoprazan, which will not be for several years, if ever. Accordingly, until such time as we can generate significant revenue from sales of vonoprazan, if ever, we expect to finance our cash needs through equity offerings, our existing loan and security agreement, or the Loan Agreement, debt financings, or other capital sources, including potential collaborations, licenses and other similar arrangements. However, we may be unable to raise additional funds or enter into such other arrangements when needed on favorable terms or at all, and this risk could be exacerbated by the impact of the COVID-19 pandemic on 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Financial Operations Overview</w:t>
      </w:r>
    </w:p>
    <w:p>
      <w:pPr>
        <w:spacing w:after="0" w:line="19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Our financial statements include our accounts (the receiving entity) and the accounts of YamadaCo IIA prior to being merged into a single entity effective March 13, 2019. We and YamadaCo IIA were entities under common control of Frazier Life Sciences IX, L.P., or Frazier, as a result of, among other things, Frazier’s: (i) ownership of a majority of the outstanding capital stock of both companies; (ii) financing of both companies; (iii) control of the board of directors of both companies; and (iv) management of both companies. Both Phathom and YamadaCo IIA were formed for the purpose of identifying potential assets around which to form an operating company. As the merged entities were under common control, the financial statements report the financial position, results of operations and cash flows of Phathom and YamadaCo IIA as though the transfer of net assets and equity interests had occurred at the beginning of 2018. All intercompany accounts and transactions have been eliminated.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Takeda</w:t>
      </w:r>
    </w:p>
    <w:p>
      <w:pPr>
        <w:spacing w:after="0" w:line="185"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spacing w:after="0" w:line="149"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143"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paid Takeda upfront consideration consisting of a cash fee of $25.0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$250.0 million. We also agreed to make tiered royalty payments at percentages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include:</w:t>
      </w:r>
    </w:p>
    <w:p>
      <w:pPr>
        <w:spacing w:after="0" w:line="185" w:lineRule="exact"/>
        <w:rPr>
          <w:sz w:val="20"/>
          <w:szCs w:val="20"/>
          <w:color w:val="auto"/>
        </w:rPr>
      </w:pPr>
    </w:p>
    <w:p>
      <w:pPr>
        <w:ind w:left="880" w:right="2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salaries, payroll taxes, employee benefits, and stock-based compensation charges for those individuals involved in research and development efforts;</w:t>
      </w:r>
    </w:p>
    <w:p>
      <w:pPr>
        <w:spacing w:after="0" w:line="129"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and consultants to conduct and support our ongoing clinical trials of vonoprazan; and</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related to the manufacturing of vonoprazan for our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4" w:name="page25"/>
    <w:bookmarkEnd w:id="24"/>
    <w:p>
      <w:pPr>
        <w:ind w:firstLine="510"/>
        <w:spacing w:after="0" w:line="255" w:lineRule="auto"/>
        <w:rPr>
          <w:sz w:val="20"/>
          <w:szCs w:val="20"/>
          <w:color w:val="auto"/>
        </w:rPr>
      </w:pPr>
      <w:r>
        <w:rPr>
          <w:rFonts w:ascii="Arial" w:cs="Arial" w:eastAsia="Arial" w:hAnsi="Arial"/>
          <w:sz w:val="18"/>
          <w:szCs w:val="18"/>
          <w:color w:val="auto"/>
        </w:rPr>
        <w:t>We plan to substantially increase our research and development expenses for the foreseeable future as we continue the development of vonoprazan.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clinical development costs may vary significantly based on factors such as:</w:t>
      </w:r>
    </w:p>
    <w:p>
      <w:pPr>
        <w:spacing w:after="0" w:line="185" w:lineRule="exact"/>
        <w:rPr>
          <w:sz w:val="20"/>
          <w:szCs w:val="20"/>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doses evaluated in the trials;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and</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and cost increases as a result of the COVID-19 pandemic.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General and administrative expenses consist of salaries and employee-related costs, including stock-based compensation, for personnel in executive, finance, accounting, legal, human resources and other administrative functions, legal fees relating to intellectual property and corporate matters, and professional fees for accounting and consulting services. We anticipate that our general and administrative expenses will increase in the future to support our continued research and development activities, pre-commercial preparation activities for vonoprazan and, if any future product candidate receives marketing approval, commercialization activities. We also anticipate increased expenses related to audit, legal, regulatory, and tax-related services associated with maintaining compliance with exchange listing and Securities and Exchange Commission, or SEC, requirements, director and officer insurance premiums, and investor relations costs associated with operating as a public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our money market fund.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Interest expense consists of interest on our outstanding commercial bank debt at a floating per annum interest rate which was 7.25% as of March 31, 2020, and amortization of the commercial bank debt discount recorded in connection with the fair value of warrants issued to the lenders, the debt issuance costs incurred, and the obligation to make a final payment fee.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198"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In connection with the entry into the Loan Agreement, we issued the lenders warrants to purchase our capital stock, or the Lender Warrants. The Lender Warrants were accounted for as liabilities as they contained a holder put right under which the lenders could have required us to pay cash in exchange for the warrants. We adjusted the carrying value of the Lender Warrants to their estimated fair value at each reporting date, with any change in fair value of the warrant liabilities recorded as an increase or decrease to change in fair value of warrant liabilities in the statements of operations. The Lender Warrants were accounted for at fair value using the Black-Scholes option-pricing model with an expected term equal to the remaining contractual term of the warrants. When we drew down an additional $25.0 million, or the Term Loan B, in March 2020, the Lender put right expired, and we recorded a final fair value adjustment and reclassified the Lender Warrants balance of $0.3 million to additional paid-in-capital.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Convertible Promissory Notes</w:t>
      </w:r>
    </w:p>
    <w:p>
      <w:pPr>
        <w:spacing w:after="0" w:line="185"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We issued convertible promissory notes in 2018 and 2019 for which we elected the fair value option. We adjusted the carrying value of our convertible promissory notes to their estimated fair value at each reporting date, with any change in fair value of the convertible promissory notes recorded as an increase or decrease to change in fair value of convertible promissory notes in our statements of operations.</w:t>
      </w:r>
    </w:p>
    <w:p>
      <w:pPr>
        <w:spacing w:after="0" w:line="13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Prior to their exchange into convertible promissory notes issued in May 2019, the fair value of convertible promissory notes issued from inception through April 2019 was estimated using a scenario-based analysis that estimated the fair value of the convertible promissory notes based on the probability-weighted present value of expected future investment returns, considering possible outcomes available to the noteholders, including conversions in subsequent equity financings, change of control transactions, settlement and dissolution. The fair value of the convertible promissory notes issued in May 2019 was estimated using a scenario-based analysis that estimated the fair value of the convertible promissory notes based on the probability-weighted present value of expected future investment returns, considering each of the possible outcomes available to the noteholders, including various IPO, settlement, equity financing, corporate transaction and dissolution scenarios.</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notes issued in May 2019 and related accrued interest thereon were converted into 6,107,918 shares immediately prior to the completion of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IPO.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2020 and 2019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390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9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15,865</w:t>
            </w: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429</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15,436</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4,510</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797</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20,375</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1,226</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19,149</w:t>
            </w: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(20,375)</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(19,149)</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5"/>
        </w:trPr>
        <w:tc>
          <w:tcPr>
            <w:tcW w:w="3900" w:type="dxa"/>
            <w:vAlign w:val="bottom"/>
          </w:tcPr>
          <w:p>
            <w:pPr>
              <w:ind w:left="240"/>
              <w:spacing w:after="0"/>
              <w:rPr>
                <w:sz w:val="20"/>
                <w:szCs w:val="20"/>
                <w:color w:val="auto"/>
              </w:rPr>
            </w:pPr>
            <w:r>
              <w:rPr>
                <w:rFonts w:ascii="Arial" w:cs="Arial" w:eastAsia="Arial" w:hAnsi="Arial"/>
                <w:sz w:val="18"/>
                <w:szCs w:val="18"/>
                <w:color w:val="auto"/>
              </w:rPr>
              <w:t>Change in fair value of convertible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promissory notes</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w:t>
            </w:r>
          </w:p>
        </w:tc>
        <w:tc>
          <w:tcPr>
            <w:tcW w:w="7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w:t>
            </w:r>
          </w:p>
        </w:tc>
        <w:tc>
          <w:tcPr>
            <w:tcW w:w="7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234</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(20,141)</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were $15.8 million and $0.4 million for the three months ended March</w:t>
      </w:r>
      <w:r>
        <w:rPr>
          <w:rFonts w:ascii="Arial" w:cs="Arial" w:eastAsia="Arial" w:hAnsi="Arial"/>
          <w:sz w:val="17"/>
          <w:szCs w:val="17"/>
          <w:i w:val="1"/>
          <w:iCs w:val="1"/>
          <w:color w:val="auto"/>
        </w:rPr>
        <w:t xml:space="preserve"> </w:t>
      </w:r>
      <w:r>
        <w:rPr>
          <w:rFonts w:ascii="Arial" w:cs="Arial" w:eastAsia="Arial" w:hAnsi="Arial"/>
          <w:sz w:val="17"/>
          <w:szCs w:val="17"/>
          <w:color w:val="auto"/>
        </w:rPr>
        <w:t>31, 2020 and 2019, respectively. The increase of $15.4 million consisted of $12.8 million of clinical trial costs and $0.5 million of chemistry manufacturing and controls (“CMC”) costs related to vonoprazan, $1.3 million of personnel-related expenses, $0.4 million of consulting expenses, $0.3 million of expenses related to regulatory requirements, and $0.1 million of other operating expenses. We had minimal research and development expenses for the three months ended March 31, 2019 as we had not yet entered into the Takeda License.</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ind w:right="200" w:firstLine="510"/>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were $4.5 million and $0.8 million for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2019, respectively. The increase of $3.7 million was due to increases of $1.5 million in personnel-related expenses, $1.3 million in professional services expenses for accounting, audit, tax, valuation and other services, $0.7 million of insurance premiums related to general operating matters, $0.1 million of consulting expenses, and $0.3 million of other operating expenses, partially offset by a $0.2 million decrease in legal fees related to corporate and intellectual property matters.</w:t>
      </w:r>
    </w:p>
    <w:p>
      <w:pPr>
        <w:spacing w:after="0" w:line="161"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Other income of $0.2 million for the three months ended March 31, 2020 consisted of $0.9 million of interest income and</w:t>
      </w:r>
      <w:r>
        <w:rPr>
          <w:rFonts w:ascii="Arial" w:cs="Arial" w:eastAsia="Arial" w:hAnsi="Arial"/>
          <w:sz w:val="16"/>
          <w:szCs w:val="16"/>
          <w:i w:val="1"/>
          <w:iCs w:val="1"/>
          <w:color w:val="auto"/>
        </w:rPr>
        <w:t xml:space="preserve"> </w:t>
      </w:r>
      <w:r>
        <w:rPr>
          <w:rFonts w:ascii="Arial" w:cs="Arial" w:eastAsia="Arial" w:hAnsi="Arial"/>
          <w:sz w:val="16"/>
          <w:szCs w:val="16"/>
          <w:color w:val="auto"/>
        </w:rPr>
        <w:t>$0.1 million of other income related to the decrease in the fair value of warrant liabilities, partially offset by $0.7 million of interest expense on outstanding commercial bank debt. Other expense of $25,000 for the three months ended March 31, 2019 consisted of $11,000 of interest expense on our outstanding convertible promissory notes and $14,000 of other expense related to the increase in fair value of those convertible promissory notes.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have incurred net losses and negative cash flows from operations since our inception and anticipate we will continue to incur net losses for the foreseeable future. As of March 31, 2020, we had cash and cash equivalents of $256.7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Bank Debt</w:t>
      </w:r>
    </w:p>
    <w:p>
      <w:pPr>
        <w:spacing w:after="0" w:line="185" w:lineRule="exact"/>
        <w:rPr>
          <w:sz w:val="20"/>
          <w:szCs w:val="20"/>
          <w:color w:val="auto"/>
        </w:rPr>
      </w:pPr>
    </w:p>
    <w:p>
      <w:pPr>
        <w:jc w:val="both"/>
        <w:ind w:right="160" w:firstLine="510"/>
        <w:spacing w:after="0" w:line="259" w:lineRule="auto"/>
        <w:rPr>
          <w:sz w:val="20"/>
          <w:szCs w:val="20"/>
          <w:color w:val="auto"/>
        </w:rPr>
      </w:pPr>
      <w:r>
        <w:rPr>
          <w:rFonts w:ascii="Arial" w:cs="Arial" w:eastAsia="Arial" w:hAnsi="Arial"/>
          <w:sz w:val="18"/>
          <w:szCs w:val="18"/>
          <w:color w:val="auto"/>
        </w:rPr>
        <w:t>On May 14, 2019, we entered into the Loan Agreement with Silicon Valley Bank, or SVB, as administrative and collateral agent, and lenders SVB and WestRiver Innovation Lending Fund VIII, L.P. We borrowed $25.0 million, Term Loan A, at the inception of the Loan Agreement and the additional $25.0 million, Term Loan B, in March 2020, which we collectively refer to as the Term Loans. As of March 31, 2020, we had outstanding Term Loans of $50.0 million and accrued interest of $0.2 million.</w:t>
      </w:r>
    </w:p>
    <w:p>
      <w:pPr>
        <w:spacing w:after="0" w:line="18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231F20"/>
        </w:rPr>
        <w:t>The Term Loans bear interest at a floating rate of the higher of the Wall Street Journal Prime rate plus 1.75% (5% at March 31, 2020) or 7.25%. Under the original Loan Agreement, the monthly payments consisted of interest-only through May 31, 2021. Pursuant to the first amendment to the Loan Agreement entered into on March 11, 2020, the interest-only payment period was extended either (i) until December 31, 2021, if we receive positive data from our Phase 3 clinical trial in H. pylori infection sufficient to file a new drug application, or NDA, with the FDA; or (ii) until November 30, 2022, if we receive positive data from our Phase 3 clinical trials in both indications for vonoprazan sufficient to file an NDA with the FDA; provided, in each case, that we had drawn down an additional $25.0 million, Term Loan B, pursuant to the Loan Agreement. Subsequent to the interest-only period, the Term Loans will be payable in equal monthly installments of principal, plus accrued and unpaid interest through the maturity date of May 1, 2024.</w:t>
      </w:r>
    </w:p>
    <w:p>
      <w:pPr>
        <w:spacing w:after="0" w:line="16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addition, we are obligated to pay a final payment fee of 8.25% of the original principal amount of the Term Loans. We may elect to prepay all or a portion of the Term Loans prior to maturity, subject to a prepayment fee of up to 2.0% of the then outstanding principal balance and payment of a pro rata portion of the final payment fee. After repayment, no Term Loan amounts may be borrowed again. The borrowings under the Loan Agreement are collateralized by substantially all of our assets, excluding intellectual property and certain other assets. We have agreed not to encumber our intellectual property assets without SVB’s prior written consent unless a security interest in the underlying intellectual property is necessary to have a security interest in the accounts and proceeds that are part of the assets securing the Term Loans, in which case our intellectual property will automatically be included within the assets securing the Term Loans.</w:t>
      </w:r>
    </w:p>
    <w:p>
      <w:pPr>
        <w:spacing w:after="0" w:line="154"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Loan Agreement contains certain customary affirmative and negative covenants and events of default. The affirmative covenants include, among others, covenants requiring us to maintain our legal existence and governmental approvals, deliver certain financial reports, maintain insurance coverage and satisfy certain requirements regarding our operating accounts. The negative covenants include, among others, limitations on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Upon the occurrence of an event of default, subject to any specified cure periods, all amounts owed by us would begin to bear interest at a rate that is 4.00% above the rate effective immediately before the event of default and may be declared immediately due and payable by SVB, as collateral agent. As of March 31, 2020, we were in compliance with all applicable covenants under the Loan Agreement.</w:t>
      </w:r>
    </w:p>
    <w:p>
      <w:pPr>
        <w:spacing w:after="0" w:line="138"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In connection with the Loan Agreement, we issued the Lender Warrants, which became exercisable when we borrowed Term Loan B in March 2020. The Lender Warrants are exercisable for 16,446 shares of common stock. The Lender Warrants expire ten years from the date of issuance. The Lender Warrants included a put option pursuant to which, in the event that we did not draw down Term Loan B on or before March 31, 2020, the warrant holders could have required us to repurchase the warrants for a total aggregate repurchase price of $0.5 million. Upon the Term Loan B draw in March 2020, the put option related to the Lender Warrants expired, at which time we recorded a final fair value adjustment and reclassified the Lender Warrants balance of $0.3 million to additional paid-in-capital.</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Convertible Note Financings</w:t>
      </w:r>
    </w:p>
    <w:p>
      <w:pPr>
        <w:spacing w:after="0" w:line="198"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From January 2018 to April 2019, we issued an aggregate of $2.4 million of convertible promissory notes to Frazier, or the Frazier Notes, bearing interest at per annum rates ranging from 1.68% to 2.55%. In May 2019, these notes and related accrued interest were exchanged, at their then fair value of $2.4 million, for the May 2019 convertible promissory notes described below.</w:t>
      </w:r>
    </w:p>
    <w:p>
      <w:pPr>
        <w:spacing w:after="0" w:line="143"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On May 7, 2019, we entered into a note purchase agreement under which we issued an aggregate of $90.3 million of unsecured convertible promissory notes, or the May 2019 Notes, resulting in gross proceeds to us of $87.8 million in cash and $2.4 million related to the exchange of the Frazier Notes. Including the conversion of the Frazier Notes, Frazier purchased $20.0 million of the May 2019 Notes. The May 2019 Notes bore an interest at a rate of 6% per annum and were subordinated to borrowings under our Loan Agreement. Immediately prior to the completion of our IPO on October 29, 2019, the May 2019 Notes automatically converted into 6,107,918 shares of common stock, representing the outstanding principal and interest of the May 2019 notes at the date of automatic conversion.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9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 xml:space="preserve">Based on our current operating plan, we believe that our existing cash and cash equivalents will be sufficient to meet our anticipated cash requirements through at least the next 24 months. We expect our current cash and cash equivalents will allow us to complete our ongoing Phase 3 clinical trials of vonoprazan for the treatment of erosive esophagitis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5" w:lineRule="exact"/>
        <w:rPr>
          <w:sz w:val="20"/>
          <w:szCs w:val="20"/>
          <w:color w:val="auto"/>
        </w:rPr>
      </w:pPr>
    </w:p>
    <w:p>
      <w:pPr>
        <w:ind w:left="880" w:right="80" w:hanging="373"/>
        <w:spacing w:after="0" w:line="308"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05"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and cost increases as a result of the COVID-19 pandemic;</w:t>
      </w:r>
    </w:p>
    <w:p>
      <w:pPr>
        <w:spacing w:after="0" w:line="184"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timing of manufacturing for vonoprazan or any future product candidates, including commercial scale manufacturing if any product candidate is approved;</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vonoprazan or any future product candidates;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84"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29"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business grows, including additional executive officers and clinical development personnel;</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for vonoprazan or any future product candidate;</w:t>
      </w:r>
    </w:p>
    <w:p>
      <w:pPr>
        <w:spacing w:after="0" w:line="184"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29"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ind w:firstLine="510"/>
        <w:spacing w:after="0" w:line="288"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41"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Including our existing cash and cash equivalents we believe that we have sufficient working capital on hand to fund operations such that there is no substantial doubt as to our ability to continue as a going concern at the date the financial statements were issued. There can be no assurance that we will be successful in acquiring additional funding, that our projections of its future working capital needs will prove accurate, or that any additional funding would be sufficient to continue operations in future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3"/>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427"/>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5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(11,417)</w:t>
            </w:r>
          </w:p>
        </w:tc>
        <w:tc>
          <w:tcPr>
            <w:tcW w:w="8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(807)</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(10,610)</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1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12,907</w:t>
            </w: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(807)</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9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Net cash used in operating activities was approximately $11.4 million and $0.8 million for the three months ended March 31, 2020 and 2019, respectively. The net cash used in operating activities for the three months ended March 31, 2020 was due to approximately $19.4 million spent on ongoing research and development and general and administrative activities, partially offset by a $8.0 million net change in operating assets and liabilities. The net change in operating assets and liabilities primarily related to a $6.7 million decrease in prepaid clinical activities, and a $1.5 million increase in accounts payable and accrued expenses in support of the growth in our operating activities, partially offset by a $0.2 million increase in other long-term assets. The net cash used in operating activities the three months ended March 31, 2019 was due to approximately $0.8 million spent on general and administrative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2020 was primarily due to the cash we paid for acquiring property, plant and equipment. We had no investing activities for the three months ended March 31,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ind w:right="500" w:firstLine="510"/>
        <w:spacing w:after="0" w:line="308" w:lineRule="auto"/>
        <w:rPr>
          <w:sz w:val="20"/>
          <w:szCs w:val="20"/>
          <w:color w:val="auto"/>
        </w:rPr>
      </w:pPr>
      <w:r>
        <w:rPr>
          <w:rFonts w:ascii="Arial" w:cs="Arial" w:eastAsia="Arial" w:hAnsi="Arial"/>
          <w:sz w:val="17"/>
          <w:szCs w:val="17"/>
          <w:color w:val="auto"/>
        </w:rPr>
        <w:t>Net cash provided by financing activities for the three months ended March 31, 2020 was due to our commercial bank debt proceeds of $25.0 million related to the Term Loan B drawdown. We had no financing activities for the three months ended March 31, 2019.</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02"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Other than disclosed below, there were no material changes outside the ordinary course of our business during the three months ended March 31, 2020 to the information regarding our contractual obligations that was disclosed in Management’s Discussion and Analysis of Financial Condition and Results of Operations contained in our 2019 Form 10-K.</w:t>
      </w:r>
    </w:p>
    <w:p>
      <w:pPr>
        <w:spacing w:after="0" w:line="143"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On March 16, 2020, we drew down the additional $25.0 million Term Loan B. As of March 31, 2020, we had outstanding Term Loans of $50.0 million and accrued interest of $0.2 million.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4"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For a description of our critical accounting policies, please see the section entitled “Management’s Discussion and Analysis of Financial Condition and Results of Operations — Critical Accounting Policies and Significant Judgments and Estimates” contained in our 2019 Form 10-K. There have not been any material changes to the critical accounting policies discussed therein during the three months ended March 31,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85"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52"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information required by this item is included in Note 1, Organization, Basis of Presentation and Summary of Significant Accounting Policies included in Part 1, Item 1 of this quarterly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periods presented we did not have, nor do we currently have, any off-balance sheet arrangements as defined under SEC rules.</w:t>
      </w:r>
    </w:p>
    <w:p>
      <w:pPr>
        <w:spacing w:after="0" w:line="19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As of March 31, 2020,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2019 Form 10-K.</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0" w:name="page31"/>
    <w:bookmarkEnd w:id="30"/>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8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2020 that have materially affected, or are reasonably likely to materially affect, our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subject to any material legal proceedings. From time to time, we may be involved in legal proceedings or subject</w:t>
      </w:r>
    </w:p>
    <w:p>
      <w:pPr>
        <w:spacing w:after="0" w:line="23"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9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than as set forth below, there have been no material changes to the risk factors disclosed in Part I, Item 1A, “Risk Factors” of our 2019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business has been impacted by, and is subject to further risks arising from, epidemic diseases such as the recent global outbreak of the COVID-19 coronavirus.</w:t>
      </w:r>
    </w:p>
    <w:p>
      <w:pPr>
        <w:spacing w:after="0" w:line="130"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The recent outbreak of the coronavirus, COVID-19, which has been declared by the World Health Organization to be a pandemic, has spread across the globe and is impacting worldwide economic activity. A pandemic, including COVID-19 or other public health epidemic, poses the risk that we or our employees, contractors, including our CROs, suppliers, and other partners may be prevented from conducting business activities for an indefinite period of time, including due to spread of the disease within these groups or due to shutdowns that may be requested or mandated by governmental authorities. In March 2020, in view of efforts to combat the COVID-19 pandemic, as well as then-current guidance from the American Society of Gastrointestinal Endoscopy limiting endoscopies, which are required in both of our Phase 3 trials, we announced a pause in randomization of new patients in our Phase 3 trials. We are working with our clinical trial sites to develop plans to resume randomization of new patients on a site-by-site basis, however, it is not possible at this time to estimate the full impact that COVID-19 will have on our business. The continued spread of COVID-19 and the measures taken by the governments of countries affected could, in addition to continuing the disruption of our clinical trial randomization, disrupt the supply chain and the manufacture or shipment of drug substance and finished drug product for vonoprazan for use in our clinical trials, cause patients to discontinue the trial, adversely affecting our trial results, ultimately lead to a discontinuation of the trials prior to their completion, and impede our future clinical trial recruitment, testing, monitoring, data collection and analysis and other related activities, which could delay our ongoing clinical trials, increase development costs and have a material adverse effect on our business, financial condition and results of operations. Moreover, to the extent any of these risks and uncertainties adversely impact us in the ways described above or otherwise, they may also have the effect of heightening many of the other risks set forth in our 2019 Form 10-K. The COVID-19 pandemic and mitigation measures have also had an adverse impact on global economic conditions which could have an adverse effect on our business and financial condition, including impairing our ability to raise capital when needed. The extent to which the COVID-19 pandemic impacts our expected clinical and regulatory timelines and other results will depend on future developments that are highly uncertain and cannot be predicted, including new information that may emerge concerning the severity of the virus and the actions to contain its impact.</w:t>
      </w:r>
    </w:p>
    <w:p>
      <w:pPr>
        <w:spacing w:after="0" w:line="12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202" w:lineRule="exact"/>
        <w:rPr>
          <w:sz w:val="20"/>
          <w:szCs w:val="20"/>
          <w:color w:val="auto"/>
        </w:rPr>
      </w:pPr>
    </w:p>
    <w:p>
      <w:pPr>
        <w:ind w:right="240" w:firstLine="510"/>
        <w:spacing w:after="0" w:line="291" w:lineRule="auto"/>
        <w:rPr>
          <w:sz w:val="20"/>
          <w:szCs w:val="20"/>
          <w:color w:val="auto"/>
        </w:rPr>
      </w:pPr>
      <w:r>
        <w:rPr>
          <w:rFonts w:ascii="Arial" w:cs="Arial" w:eastAsia="Arial" w:hAnsi="Arial"/>
          <w:sz w:val="16"/>
          <w:szCs w:val="16"/>
          <w:color w:val="auto"/>
        </w:rPr>
        <w:t>On October 24, 2019, our registration statement on Form S-1 (File No. 333-234020) was declared effective by the SEC for our initial public offering. At the closing of the offering on October 29, 2019, we sold 10,997,630 shares of common stock, which included the exercise in full by the underwriters of their option to purchase 1,434,473 additional shares, at an initial public offering price of $19.00 per share and received gross proceeds of $209.0 million, which resulted in net proceeds to us of approximately $191.5 million, after deducting underwriting discounts and commissions of approximately $14.6 million and offering-related transaction costs of approximately $2.9 million. None of the expenses associated with the initial public offering were paid to directors, officers, persons owning ten percent or more of any class of equity securities, or to their associates, or to our affiliates. Goldman Sachs &amp; Co. LLC, Jefferies LLC and Evercore Group L.L.C. acted as joint book-running managers for the offering.</w:t>
      </w:r>
    </w:p>
    <w:p>
      <w:pPr>
        <w:spacing w:after="0" w:line="12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As of March 31, 2020, the net proceeds from our initial public offering have been applied as follows: $16.5 million towards the clinical development of vonoprazan and $8.6 million towards working capital and general corporate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940" w:type="dxa"/>
            <w:vAlign w:val="bottom"/>
            <w:gridSpan w:val="19"/>
          </w:tcPr>
          <w:p>
            <w:pPr>
              <w:ind w:left="80"/>
              <w:spacing w:after="0"/>
              <w:rPr>
                <w:sz w:val="20"/>
                <w:szCs w:val="20"/>
                <w:color w:val="auto"/>
              </w:rPr>
            </w:pPr>
            <w:r>
              <w:rPr>
                <w:rFonts w:ascii="Arial" w:cs="Arial" w:eastAsia="Arial" w:hAnsi="Arial"/>
                <w:sz w:val="18"/>
                <w:szCs w:val="18"/>
                <w:b w:val="1"/>
                <w:bCs w:val="1"/>
                <w:color w:val="auto"/>
              </w:rPr>
              <w:t>Exhibits</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13"/>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vMerge w:val="restart"/>
          </w:tcPr>
          <w:p>
            <w:pPr>
              <w:spacing w:after="0"/>
              <w:rPr>
                <w:sz w:val="10"/>
                <w:szCs w:val="10"/>
                <w:color w:val="auto"/>
              </w:rPr>
            </w:pPr>
          </w:p>
        </w:tc>
        <w:tc>
          <w:tcPr>
            <w:tcW w:w="620" w:type="dxa"/>
            <w:vAlign w:val="bottom"/>
            <w:vMerge w:val="restart"/>
          </w:tcPr>
          <w:p>
            <w:pPr>
              <w:jc w:val="center"/>
              <w:ind w:left="52"/>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Date</w:t>
            </w:r>
          </w:p>
        </w:tc>
        <w:tc>
          <w:tcPr>
            <w:tcW w:w="80" w:type="dxa"/>
            <w:vAlign w:val="bottom"/>
            <w:vMerge w:val="restart"/>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vMerge w:val="restart"/>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3"/>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44"/>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5840" w:type="dxa"/>
            <w:vAlign w:val="bottom"/>
            <w:gridSpan w:val="18"/>
          </w:tcPr>
          <w:p>
            <w:pPr>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Amended and Restated Certificate of Incorporation</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85"/>
              </w:rPr>
              <w:t>S-1</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9/30/19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5840" w:type="dxa"/>
            <w:vAlign w:val="bottom"/>
            <w:gridSpan w:val="18"/>
          </w:tcPr>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Amended and Restated Bylaws</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85"/>
              </w:rPr>
              <w:t>S-1</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9/30/19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5840" w:type="dxa"/>
            <w:vAlign w:val="bottom"/>
            <w:gridSpan w:val="18"/>
          </w:tcPr>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Form of Common Stock Certificate</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7"/>
              </w:rPr>
              <w:t>S-1/A</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10/15/19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5840" w:type="dxa"/>
            <w:vAlign w:val="bottom"/>
            <w:gridSpan w:val="18"/>
          </w:tcPr>
          <w:p>
            <w:pPr>
              <w:spacing w:after="0"/>
              <w:rPr>
                <w:rFonts w:ascii="Arial" w:cs="Arial" w:eastAsia="Arial" w:hAnsi="Arial"/>
                <w:sz w:val="18"/>
                <w:szCs w:val="18"/>
                <w:color w:val="0000EE"/>
                <w:w w:val="99"/>
              </w:rPr>
            </w:pPr>
            <w:hyperlink r:id="rId65">
              <w:r>
                <w:rPr>
                  <w:rFonts w:ascii="Arial" w:cs="Arial" w:eastAsia="Arial" w:hAnsi="Arial"/>
                  <w:sz w:val="18"/>
                  <w:szCs w:val="18"/>
                  <w:color w:val="0000EE"/>
                  <w:w w:val="99"/>
                </w:rPr>
                <w:t>Warrant to purchase shares of common stock issued to Takeda Company</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85"/>
              </w:rPr>
              <w:t>S-1</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9/30/19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Limited, dated May 7, 2019</w:t>
              </w:r>
            </w:hyperlink>
          </w:p>
        </w:tc>
        <w:tc>
          <w:tcPr>
            <w:tcW w:w="3200" w:type="dxa"/>
            <w:vAlign w:val="bottom"/>
            <w:tcBorders>
              <w:top w:val="single" w:sz="8" w:color="0000EE"/>
            </w:tcBorders>
            <w:gridSpan w:val="6"/>
          </w:tcPr>
          <w:p>
            <w:pPr>
              <w:spacing w:after="0"/>
              <w:rPr>
                <w:sz w:val="17"/>
                <w:szCs w:val="17"/>
                <w:color w:val="auto"/>
              </w:rPr>
            </w:pPr>
          </w:p>
        </w:tc>
        <w:tc>
          <w:tcPr>
            <w:tcW w:w="620" w:type="dxa"/>
            <w:vAlign w:val="bottom"/>
            <w:gridSpan w:val="9"/>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5840" w:type="dxa"/>
            <w:vAlign w:val="bottom"/>
            <w:gridSpan w:val="18"/>
          </w:tcPr>
          <w:p>
            <w:pPr>
              <w:spacing w:after="0"/>
              <w:rPr>
                <w:rFonts w:ascii="Arial" w:cs="Arial" w:eastAsia="Arial" w:hAnsi="Arial"/>
                <w:sz w:val="18"/>
                <w:szCs w:val="18"/>
                <w:u w:val="single" w:color="auto"/>
                <w:color w:val="0000EE"/>
                <w:w w:val="94"/>
              </w:rPr>
            </w:pPr>
            <w:hyperlink r:id="rId66">
              <w:r>
                <w:rPr>
                  <w:rFonts w:ascii="Arial" w:cs="Arial" w:eastAsia="Arial" w:hAnsi="Arial"/>
                  <w:sz w:val="18"/>
                  <w:szCs w:val="18"/>
                  <w:u w:val="single" w:color="auto"/>
                  <w:color w:val="0000EE"/>
                  <w:w w:val="94"/>
                </w:rPr>
                <w:t>Warrant to purchase stock issued to Silicon Valley Bank, dated May 14, 2019</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85"/>
              </w:rPr>
              <w:t>S-1</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9/30/19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24"/>
                <w:szCs w:val="24"/>
                <w:color w:val="auto"/>
              </w:rPr>
            </w:pPr>
          </w:p>
        </w:tc>
        <w:tc>
          <w:tcPr>
            <w:tcW w:w="5640" w:type="dxa"/>
            <w:vAlign w:val="bottom"/>
            <w:tcBorders>
              <w:bottom w:val="single" w:sz="8" w:color="0000EE"/>
            </w:tcBorders>
            <w:gridSpan w:val="16"/>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Warrant to purchase stock issued to WestRiver Innovation Lending Fund VIII,</w:t>
              </w:r>
            </w:hyperlink>
          </w:p>
        </w:tc>
        <w:tc>
          <w:tcPr>
            <w:tcW w:w="200" w:type="dxa"/>
            <w:vAlign w:val="bottom"/>
            <w:gridSpan w:val="2"/>
          </w:tcPr>
          <w:p>
            <w:pPr>
              <w:spacing w:after="0"/>
              <w:rPr>
                <w:sz w:val="24"/>
                <w:szCs w:val="24"/>
                <w:color w:val="auto"/>
              </w:rPr>
            </w:pPr>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85"/>
              </w:rPr>
              <w:t>S-1</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9/30/19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67">
              <w:r>
                <w:rPr>
                  <w:rFonts w:ascii="Arial" w:cs="Arial" w:eastAsia="Arial" w:hAnsi="Arial"/>
                  <w:sz w:val="18"/>
                  <w:szCs w:val="18"/>
                  <w:color w:val="0000EE"/>
                  <w:w w:val="89"/>
                </w:rPr>
                <w:t>L.P., dated May 14, 2019</w:t>
              </w:r>
            </w:hyperlink>
          </w:p>
        </w:tc>
        <w:tc>
          <w:tcPr>
            <w:tcW w:w="4020" w:type="dxa"/>
            <w:vAlign w:val="bottom"/>
            <w:gridSpan w:val="16"/>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4"/>
                <w:szCs w:val="24"/>
                <w:color w:val="auto"/>
              </w:rPr>
            </w:pPr>
          </w:p>
        </w:tc>
        <w:tc>
          <w:tcPr>
            <w:tcW w:w="5500" w:type="dxa"/>
            <w:vAlign w:val="bottom"/>
            <w:tcBorders>
              <w:bottom w:val="single" w:sz="8" w:color="0000EE"/>
            </w:tcBorders>
            <w:gridSpan w:val="12"/>
          </w:tcPr>
          <w:p>
            <w:pPr>
              <w:spacing w:after="0"/>
              <w:rPr>
                <w:rFonts w:ascii="Arial" w:cs="Arial" w:eastAsia="Arial" w:hAnsi="Arial"/>
                <w:sz w:val="18"/>
                <w:szCs w:val="18"/>
                <w:color w:val="0000EE"/>
                <w:w w:val="89"/>
              </w:rPr>
            </w:pPr>
            <w:hyperlink r:id="rId68">
              <w:r>
                <w:rPr>
                  <w:rFonts w:ascii="Arial" w:cs="Arial" w:eastAsia="Arial" w:hAnsi="Arial"/>
                  <w:sz w:val="18"/>
                  <w:szCs w:val="18"/>
                  <w:color w:val="0000EE"/>
                  <w:w w:val="89"/>
                </w:rPr>
                <w:t>Note Purchase Agreement, dated May 7, 2019, by and among the Registrant</w:t>
              </w:r>
            </w:hyperlink>
          </w:p>
        </w:tc>
        <w:tc>
          <w:tcPr>
            <w:tcW w:w="340" w:type="dxa"/>
            <w:vAlign w:val="bottom"/>
            <w:gridSpan w:val="6"/>
          </w:tcPr>
          <w:p>
            <w:pPr>
              <w:spacing w:after="0"/>
              <w:rPr>
                <w:sz w:val="24"/>
                <w:szCs w:val="24"/>
                <w:color w:val="auto"/>
              </w:rPr>
            </w:pPr>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7"/>
              </w:rPr>
              <w:t>S-1/A</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10/15/19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40" w:type="dxa"/>
            <w:vAlign w:val="bottom"/>
            <w:gridSpan w:val="18"/>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and the other parties party thereto, as amended</w:t>
              </w:r>
            </w:hyperlink>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24"/>
                <w:szCs w:val="24"/>
                <w:color w:val="auto"/>
              </w:rPr>
            </w:pPr>
          </w:p>
        </w:tc>
        <w:tc>
          <w:tcPr>
            <w:tcW w:w="3360" w:type="dxa"/>
            <w:vAlign w:val="bottom"/>
            <w:tcBorders>
              <w:top w:val="single" w:sz="8" w:color="0000EE"/>
            </w:tcBorders>
            <w:gridSpan w:val="6"/>
          </w:tcPr>
          <w:p>
            <w:pPr>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Description of Registered Securities</w:t>
              </w:r>
            </w:hyperlink>
          </w:p>
        </w:tc>
        <w:tc>
          <w:tcPr>
            <w:tcW w:w="2480" w:type="dxa"/>
            <w:vAlign w:val="bottom"/>
            <w:gridSpan w:val="12"/>
          </w:tcPr>
          <w:p>
            <w:pPr>
              <w:spacing w:after="0"/>
              <w:rPr>
                <w:sz w:val="24"/>
                <w:szCs w:val="24"/>
                <w:color w:val="auto"/>
              </w:rPr>
            </w:pPr>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4"/>
              </w:rPr>
              <w:t>10-K</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12/31/19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00" w:type="dxa"/>
            <w:vAlign w:val="bottom"/>
          </w:tcPr>
          <w:p>
            <w:pPr>
              <w:spacing w:after="0"/>
              <w:rPr>
                <w:sz w:val="24"/>
                <w:szCs w:val="24"/>
                <w:color w:val="auto"/>
              </w:rPr>
            </w:pPr>
          </w:p>
        </w:tc>
        <w:tc>
          <w:tcPr>
            <w:tcW w:w="5840" w:type="dxa"/>
            <w:vAlign w:val="bottom"/>
            <w:gridSpan w:val="18"/>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Phathom Pharmaceuticals 2020 Bonus Plan</w:t>
              </w:r>
            </w:hyperlink>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1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5840" w:type="dxa"/>
            <w:vAlign w:val="bottom"/>
            <w:gridSpan w:val="18"/>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Amendment to the Loan and Security Agreement, dated March 11, 2020, by</w:t>
              </w:r>
            </w:hyperlink>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and among Silicon Valley Bank, WestRiver Innovation Lending Fund VIII,</w:t>
              </w:r>
            </w:hyperlink>
          </w:p>
        </w:tc>
        <w:tc>
          <w:tcPr>
            <w:tcW w:w="60" w:type="dxa"/>
            <w:vAlign w:val="bottom"/>
            <w:tcBorders>
              <w:top w:val="single" w:sz="8" w:color="0000EE"/>
            </w:tcBorders>
          </w:tcPr>
          <w:p>
            <w:pPr>
              <w:spacing w:after="0"/>
              <w:rPr>
                <w:sz w:val="17"/>
                <w:szCs w:val="17"/>
                <w:color w:val="auto"/>
              </w:rPr>
            </w:pPr>
          </w:p>
        </w:tc>
        <w:tc>
          <w:tcPr>
            <w:tcW w:w="36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L.P. and the Registrant</w:t>
              </w:r>
            </w:hyperlink>
          </w:p>
        </w:tc>
        <w:tc>
          <w:tcPr>
            <w:tcW w:w="4200" w:type="dxa"/>
            <w:vAlign w:val="bottom"/>
            <w:gridSpan w:val="17"/>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4"/>
                <w:szCs w:val="24"/>
                <w:color w:val="auto"/>
              </w:rPr>
            </w:pPr>
          </w:p>
        </w:tc>
        <w:tc>
          <w:tcPr>
            <w:tcW w:w="560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Certification of Chief Executive Officer of Phathom Pharmaceuticals, Inc., as</w:t>
              </w:r>
            </w:hyperlink>
          </w:p>
        </w:tc>
        <w:tc>
          <w:tcPr>
            <w:tcW w:w="24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required by Rule 13a-14(a) or Rule 15d-14(a), as adopted pursuant to Section</w:t>
              </w:r>
            </w:hyperlink>
          </w:p>
        </w:tc>
        <w:tc>
          <w:tcPr>
            <w:tcW w:w="26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302 of the Sarbanes-Oxley Act of 2002.</w:t>
              </w:r>
            </w:hyperlink>
          </w:p>
        </w:tc>
        <w:tc>
          <w:tcPr>
            <w:tcW w:w="2960" w:type="dxa"/>
            <w:vAlign w:val="bottom"/>
            <w:gridSpan w:val="13"/>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4"/>
                <w:szCs w:val="24"/>
                <w:color w:val="auto"/>
              </w:rPr>
            </w:pPr>
          </w:p>
        </w:tc>
        <w:tc>
          <w:tcPr>
            <w:tcW w:w="554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Certification of Chief Financial Officer of Phathom Pharmaceuticals, Inc., as</w:t>
              </w:r>
            </w:hyperlink>
          </w:p>
        </w:tc>
        <w:tc>
          <w:tcPr>
            <w:tcW w:w="30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required by Rule 13a-14(a) or Rule 15d-14(a), as adopted pursuant to Section</w:t>
              </w:r>
            </w:hyperlink>
          </w:p>
        </w:tc>
        <w:tc>
          <w:tcPr>
            <w:tcW w:w="26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302 of the Sarbanes-Oxley Act of 2002.</w:t>
              </w:r>
            </w:hyperlink>
          </w:p>
        </w:tc>
        <w:tc>
          <w:tcPr>
            <w:tcW w:w="2960" w:type="dxa"/>
            <w:vAlign w:val="bottom"/>
            <w:gridSpan w:val="13"/>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5840" w:type="dxa"/>
            <w:vAlign w:val="bottom"/>
            <w:gridSpan w:val="1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Certification of Chief Executive Officer pursuant to Section 906 of the</w:t>
              </w:r>
            </w:hyperlink>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Sarbanes-Oxley Act of 2002.</w:t>
              </w:r>
            </w:hyperlink>
          </w:p>
        </w:tc>
        <w:tc>
          <w:tcPr>
            <w:tcW w:w="76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80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50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Certification of Chief Financial Officer pursuant to Section 906 of the</w:t>
              </w:r>
            </w:hyperlink>
          </w:p>
        </w:tc>
        <w:tc>
          <w:tcPr>
            <w:tcW w:w="800" w:type="dxa"/>
            <w:vAlign w:val="bottom"/>
            <w:gridSpan w:val="11"/>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40" w:type="dxa"/>
            <w:vAlign w:val="bottom"/>
            <w:gridSpan w:val="1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Sarbanes-Oxley Act of 2002.</w:t>
              </w:r>
            </w:hyperlink>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740" w:type="dxa"/>
            <w:vAlign w:val="bottom"/>
            <w:gridSpan w:val="1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0" w:type="dxa"/>
            <w:vAlign w:val="bottom"/>
          </w:tcPr>
          <w:p>
            <w:pPr>
              <w:spacing w:after="0"/>
              <w:rPr>
                <w:sz w:val="24"/>
                <w:szCs w:val="24"/>
                <w:color w:val="auto"/>
              </w:rPr>
            </w:pPr>
          </w:p>
        </w:tc>
        <w:tc>
          <w:tcPr>
            <w:tcW w:w="5840" w:type="dxa"/>
            <w:vAlign w:val="bottom"/>
            <w:gridSpan w:val="18"/>
          </w:tcPr>
          <w:p>
            <w:pPr>
              <w:spacing w:after="0"/>
              <w:rPr>
                <w:sz w:val="20"/>
                <w:szCs w:val="20"/>
                <w:color w:val="auto"/>
              </w:rPr>
            </w:pPr>
            <w:r>
              <w:rPr>
                <w:rFonts w:ascii="Arial" w:cs="Arial" w:eastAsia="Arial" w:hAnsi="Arial"/>
                <w:sz w:val="18"/>
                <w:szCs w:val="18"/>
                <w:color w:val="auto"/>
              </w:rPr>
              <w:t>XBRL Report Instance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00" w:type="dxa"/>
            <w:vAlign w:val="bottom"/>
          </w:tcPr>
          <w:p>
            <w:pPr>
              <w:spacing w:after="0"/>
              <w:rPr>
                <w:sz w:val="24"/>
                <w:szCs w:val="24"/>
                <w:color w:val="auto"/>
              </w:rPr>
            </w:pPr>
          </w:p>
        </w:tc>
        <w:tc>
          <w:tcPr>
            <w:tcW w:w="584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1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0" w:type="dxa"/>
            <w:vAlign w:val="bottom"/>
          </w:tcPr>
          <w:p>
            <w:pPr>
              <w:spacing w:after="0"/>
              <w:rPr>
                <w:sz w:val="24"/>
                <w:szCs w:val="24"/>
                <w:color w:val="auto"/>
              </w:rPr>
            </w:pPr>
          </w:p>
        </w:tc>
        <w:tc>
          <w:tcPr>
            <w:tcW w:w="5840" w:type="dxa"/>
            <w:vAlign w:val="bottom"/>
            <w:gridSpan w:val="18"/>
          </w:tcPr>
          <w:p>
            <w:pPr>
              <w:spacing w:after="0"/>
              <w:rPr>
                <w:sz w:val="20"/>
                <w:szCs w:val="20"/>
                <w:color w:val="auto"/>
              </w:rPr>
            </w:pPr>
            <w:r>
              <w:rPr>
                <w:rFonts w:ascii="Arial" w:cs="Arial" w:eastAsia="Arial" w:hAnsi="Arial"/>
                <w:sz w:val="18"/>
                <w:szCs w:val="18"/>
                <w:color w:val="auto"/>
              </w:rPr>
              <w:t>XBRL Taxonomy Calculation Linkbase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24"/>
                <w:szCs w:val="24"/>
                <w:color w:val="auto"/>
              </w:rPr>
            </w:pPr>
          </w:p>
        </w:tc>
        <w:tc>
          <w:tcPr>
            <w:tcW w:w="5840" w:type="dxa"/>
            <w:vAlign w:val="bottom"/>
            <w:gridSpan w:val="18"/>
          </w:tcPr>
          <w:p>
            <w:pPr>
              <w:spacing w:after="0"/>
              <w:rPr>
                <w:sz w:val="20"/>
                <w:szCs w:val="20"/>
                <w:color w:val="auto"/>
              </w:rPr>
            </w:pPr>
            <w:r>
              <w:rPr>
                <w:rFonts w:ascii="Arial" w:cs="Arial" w:eastAsia="Arial" w:hAnsi="Arial"/>
                <w:sz w:val="18"/>
                <w:szCs w:val="18"/>
                <w:color w:val="auto"/>
              </w:rPr>
              <w:t>XBRL Taxonomy Label Linkbase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00" w:type="dxa"/>
            <w:vAlign w:val="bottom"/>
          </w:tcPr>
          <w:p>
            <w:pPr>
              <w:spacing w:after="0"/>
              <w:rPr>
                <w:sz w:val="24"/>
                <w:szCs w:val="24"/>
                <w:color w:val="auto"/>
              </w:rPr>
            </w:pPr>
          </w:p>
        </w:tc>
        <w:tc>
          <w:tcPr>
            <w:tcW w:w="5840" w:type="dxa"/>
            <w:vAlign w:val="bottom"/>
            <w:gridSpan w:val="18"/>
          </w:tcPr>
          <w:p>
            <w:pPr>
              <w:spacing w:after="0"/>
              <w:rPr>
                <w:sz w:val="20"/>
                <w:szCs w:val="20"/>
                <w:color w:val="auto"/>
              </w:rPr>
            </w:pPr>
            <w:r>
              <w:rPr>
                <w:rFonts w:ascii="Arial" w:cs="Arial" w:eastAsia="Arial" w:hAnsi="Arial"/>
                <w:sz w:val="18"/>
                <w:szCs w:val="18"/>
                <w:color w:val="auto"/>
              </w:rPr>
              <w:t>XBRL Presentation Linkbase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1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00" w:type="dxa"/>
            <w:vAlign w:val="bottom"/>
          </w:tcPr>
          <w:p>
            <w:pPr>
              <w:spacing w:after="0"/>
              <w:rPr>
                <w:sz w:val="24"/>
                <w:szCs w:val="24"/>
                <w:color w:val="auto"/>
              </w:rPr>
            </w:pPr>
          </w:p>
        </w:tc>
        <w:tc>
          <w:tcPr>
            <w:tcW w:w="584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380" w:right="160" w:hanging="372"/>
        <w:spacing w:after="0" w:line="26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300" w:type="dxa"/>
            <w:vAlign w:val="bottom"/>
            <w:gridSpan w:val="2"/>
          </w:tcPr>
          <w:p>
            <w:pPr>
              <w:ind w:left="2140"/>
              <w:spacing w:after="0"/>
              <w:rPr>
                <w:sz w:val="20"/>
                <w:szCs w:val="20"/>
                <w:color w:val="auto"/>
              </w:rPr>
            </w:pPr>
            <w:r>
              <w:rPr>
                <w:rFonts w:ascii="Arial" w:cs="Arial" w:eastAsia="Arial" w:hAnsi="Arial"/>
                <w:sz w:val="18"/>
                <w:szCs w:val="18"/>
                <w:color w:val="auto"/>
              </w:rPr>
              <w:t>PHATHOM PHARMACEUTICALS,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340" w:type="dxa"/>
            <w:vAlign w:val="bottom"/>
          </w:tcPr>
          <w:p>
            <w:pPr>
              <w:ind w:left="200"/>
              <w:spacing w:after="0"/>
              <w:rPr>
                <w:sz w:val="20"/>
                <w:szCs w:val="20"/>
                <w:color w:val="auto"/>
              </w:rPr>
            </w:pPr>
            <w:r>
              <w:rPr>
                <w:rFonts w:ascii="Arial" w:cs="Arial" w:eastAsia="Arial" w:hAnsi="Arial"/>
                <w:sz w:val="18"/>
                <w:szCs w:val="18"/>
                <w:color w:val="auto"/>
              </w:rPr>
              <w:t>May 12, 2020</w:t>
            </w:r>
          </w:p>
        </w:tc>
        <w:tc>
          <w:tcPr>
            <w:tcW w:w="2720" w:type="dxa"/>
            <w:vAlign w:val="bottom"/>
          </w:tcPr>
          <w:p>
            <w:pPr>
              <w:ind w:left="214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Terrie Curran</w:t>
            </w:r>
          </w:p>
        </w:tc>
      </w:tr>
      <w:tr>
        <w:trPr>
          <w:trHeight w:val="195"/>
        </w:trPr>
        <w:tc>
          <w:tcPr>
            <w:tcW w:w="6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Terrie Curran</w:t>
            </w:r>
          </w:p>
        </w:tc>
      </w:tr>
      <w:tr>
        <w:trPr>
          <w:trHeight w:val="216"/>
        </w:trPr>
        <w:tc>
          <w:tcPr>
            <w:tcW w:w="6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340" w:type="dxa"/>
            <w:vAlign w:val="bottom"/>
          </w:tcPr>
          <w:p>
            <w:pPr>
              <w:ind w:left="200"/>
              <w:spacing w:after="0"/>
              <w:rPr>
                <w:sz w:val="20"/>
                <w:szCs w:val="20"/>
                <w:color w:val="auto"/>
              </w:rPr>
            </w:pPr>
            <w:r>
              <w:rPr>
                <w:rFonts w:ascii="Arial" w:cs="Arial" w:eastAsia="Arial" w:hAnsi="Arial"/>
                <w:sz w:val="18"/>
                <w:szCs w:val="18"/>
                <w:color w:val="auto"/>
              </w:rPr>
              <w:t>May 12, 2020</w:t>
            </w:r>
          </w:p>
        </w:tc>
        <w:tc>
          <w:tcPr>
            <w:tcW w:w="2720" w:type="dxa"/>
            <w:vAlign w:val="bottom"/>
          </w:tcPr>
          <w:p>
            <w:pPr>
              <w:ind w:left="214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Socks</w:t>
            </w:r>
          </w:p>
        </w:tc>
      </w:tr>
      <w:tr>
        <w:trPr>
          <w:trHeight w:val="211"/>
        </w:trPr>
        <w:tc>
          <w:tcPr>
            <w:tcW w:w="6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David Socks</w:t>
            </w:r>
          </w:p>
        </w:tc>
      </w:tr>
    </w:tbl>
    <w:p>
      <w:pPr>
        <w:ind w:left="6660"/>
        <w:spacing w:after="0"/>
        <w:rPr>
          <w:sz w:val="20"/>
          <w:szCs w:val="20"/>
          <w:color w:val="auto"/>
        </w:rPr>
      </w:pPr>
      <w:r>
        <w:rPr>
          <w:rFonts w:ascii="Arial" w:cs="Arial" w:eastAsia="Arial" w:hAnsi="Arial"/>
          <w:sz w:val="18"/>
          <w:szCs w:val="18"/>
          <w:color w:val="auto"/>
        </w:rPr>
        <w:t>Interim Chief Financial Officer and Director</w:t>
      </w:r>
    </w:p>
    <w:p>
      <w:pPr>
        <w:spacing w:after="0" w:line="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337" w:right="339" w:bottom="1440" w:gutter="0" w:footer="0" w:header="0"/>
        </w:sectPr>
      </w:pPr>
    </w:p>
    <w:bookmarkStart w:id="35" w:name="page36"/>
    <w:bookmarkEnd w:id="35"/>
    <w:p>
      <w:pPr>
        <w:jc w:val="right"/>
        <w:ind w:right="20"/>
        <w:spacing w:after="0"/>
        <w:rPr>
          <w:sz w:val="20"/>
          <w:szCs w:val="20"/>
          <w:color w:val="auto"/>
        </w:rPr>
      </w:pPr>
      <w:r>
        <w:rPr>
          <w:rFonts w:ascii="Arial" w:cs="Arial" w:eastAsia="Arial" w:hAnsi="Arial"/>
          <w:sz w:val="22"/>
          <w:szCs w:val="22"/>
          <w:b w:val="1"/>
          <w:bCs w:val="1"/>
          <w:color w:val="auto"/>
        </w:rPr>
        <w:t>Exhibit 10.1</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CONFIDENTIAL</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PHATHOM PHARMACEUTICALS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BONUS PLAN</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Effective January 1,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INTRODUCTION AND PURPOSE</w:t>
      </w:r>
    </w:p>
    <w:p>
      <w:pPr>
        <w:spacing w:after="0" w:line="232" w:lineRule="exact"/>
        <w:rPr>
          <w:sz w:val="20"/>
          <w:szCs w:val="20"/>
          <w:color w:val="auto"/>
        </w:rPr>
      </w:pPr>
    </w:p>
    <w:p>
      <w:pPr>
        <w:ind w:right="120"/>
        <w:spacing w:after="0" w:line="233" w:lineRule="auto"/>
        <w:rPr>
          <w:sz w:val="20"/>
          <w:szCs w:val="20"/>
          <w:color w:val="auto"/>
        </w:rPr>
      </w:pPr>
      <w:r>
        <w:rPr>
          <w:rFonts w:ascii="Arial" w:cs="Arial" w:eastAsia="Arial" w:hAnsi="Arial"/>
          <w:sz w:val="22"/>
          <w:szCs w:val="22"/>
          <w:color w:val="auto"/>
        </w:rPr>
        <w:t>The Phathom Pharmaceuticals (“Phathom” or the “Company”) Bonus Plan (the “Plan”) is designed to reward eligible employees for the achievement of corporate objectives, as well as measured individual objectives that are consistent with and support the overall corporate objectives. Since cooperation between departments and employees will be required to achieve corporate objectives that represent a significant portion of the Plan, the Plan should help foster teamwork and build a cohesive management team. For purposes of the Plan, the "Plan year" will mean each calendar year.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The Plan is designed to:</w:t>
      </w:r>
    </w:p>
    <w:p>
      <w:pPr>
        <w:spacing w:after="0" w:line="206" w:lineRule="exact"/>
        <w:rPr>
          <w:sz w:val="20"/>
          <w:szCs w:val="20"/>
          <w:color w:val="auto"/>
        </w:rPr>
      </w:pPr>
    </w:p>
    <w:p>
      <w:pPr>
        <w:ind w:left="440" w:right="340" w:hanging="432"/>
        <w:spacing w:after="0" w:line="230" w:lineRule="auto"/>
        <w:tabs>
          <w:tab w:leader="none" w:pos="440" w:val="left"/>
        </w:tabs>
        <w:numPr>
          <w:ilvl w:val="0"/>
          <w:numId w:val="8"/>
        </w:numPr>
        <w:rPr>
          <w:rFonts w:ascii="Arial" w:cs="Arial" w:eastAsia="Arial" w:hAnsi="Arial"/>
          <w:sz w:val="22"/>
          <w:szCs w:val="22"/>
          <w:color w:val="auto"/>
        </w:rPr>
      </w:pPr>
      <w:r>
        <w:rPr>
          <w:rFonts w:ascii="Arial" w:cs="Arial" w:eastAsia="Arial" w:hAnsi="Arial"/>
          <w:sz w:val="22"/>
          <w:szCs w:val="22"/>
          <w:color w:val="auto"/>
        </w:rPr>
        <w:t>Encourage high performance by providing an incentive program to achieve overall corporate objectives and to enhance shareholder value.</w:t>
      </w:r>
    </w:p>
    <w:p>
      <w:pPr>
        <w:spacing w:after="0" w:line="1" w:lineRule="exact"/>
        <w:rPr>
          <w:rFonts w:ascii="Arial" w:cs="Arial" w:eastAsia="Arial" w:hAnsi="Arial"/>
          <w:sz w:val="22"/>
          <w:szCs w:val="22"/>
          <w:color w:val="auto"/>
        </w:rPr>
      </w:pPr>
    </w:p>
    <w:p>
      <w:pPr>
        <w:ind w:left="440" w:hanging="432"/>
        <w:spacing w:after="0" w:line="230" w:lineRule="auto"/>
        <w:tabs>
          <w:tab w:leader="none" w:pos="440" w:val="left"/>
        </w:tabs>
        <w:numPr>
          <w:ilvl w:val="0"/>
          <w:numId w:val="8"/>
        </w:numPr>
        <w:rPr>
          <w:rFonts w:ascii="Arial" w:cs="Arial" w:eastAsia="Arial" w:hAnsi="Arial"/>
          <w:sz w:val="22"/>
          <w:szCs w:val="22"/>
          <w:color w:val="auto"/>
        </w:rPr>
      </w:pPr>
      <w:r>
        <w:rPr>
          <w:rFonts w:ascii="Arial" w:cs="Arial" w:eastAsia="Arial" w:hAnsi="Arial"/>
          <w:sz w:val="22"/>
          <w:szCs w:val="22"/>
          <w:color w:val="auto"/>
        </w:rPr>
        <w:t>Reward those individuals who significantly impact corporate results.</w:t>
      </w:r>
    </w:p>
    <w:p>
      <w:pPr>
        <w:ind w:left="440" w:hanging="432"/>
        <w:spacing w:after="0" w:line="230" w:lineRule="auto"/>
        <w:tabs>
          <w:tab w:leader="none" w:pos="440" w:val="left"/>
        </w:tabs>
        <w:numPr>
          <w:ilvl w:val="0"/>
          <w:numId w:val="8"/>
        </w:numPr>
        <w:rPr>
          <w:rFonts w:ascii="Arial" w:cs="Arial" w:eastAsia="Arial" w:hAnsi="Arial"/>
          <w:sz w:val="22"/>
          <w:szCs w:val="22"/>
          <w:color w:val="auto"/>
        </w:rPr>
      </w:pPr>
      <w:r>
        <w:rPr>
          <w:rFonts w:ascii="Arial" w:cs="Arial" w:eastAsia="Arial" w:hAnsi="Arial"/>
          <w:sz w:val="22"/>
          <w:szCs w:val="22"/>
          <w:color w:val="auto"/>
        </w:rPr>
        <w:t>Encourage increased teamwork among all disciplines within Phathom.</w:t>
      </w:r>
    </w:p>
    <w:p>
      <w:pPr>
        <w:ind w:left="440" w:right="780" w:hanging="432"/>
        <w:spacing w:after="0" w:line="230" w:lineRule="auto"/>
        <w:tabs>
          <w:tab w:leader="none" w:pos="44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Incorporate an incentive program in the Phathom overall compensation program to help attract and retain employees.</w:t>
      </w:r>
    </w:p>
    <w:p>
      <w:pPr>
        <w:spacing w:after="0" w:line="1" w:lineRule="exact"/>
        <w:rPr>
          <w:rFonts w:ascii="Arial" w:cs="Arial" w:eastAsia="Arial" w:hAnsi="Arial"/>
          <w:sz w:val="22"/>
          <w:szCs w:val="22"/>
          <w:color w:val="auto"/>
        </w:rPr>
      </w:pPr>
    </w:p>
    <w:p>
      <w:pPr>
        <w:ind w:left="440" w:right="260" w:hanging="432"/>
        <w:spacing w:after="0" w:line="238" w:lineRule="auto"/>
        <w:tabs>
          <w:tab w:leader="none" w:pos="440" w:val="left"/>
        </w:tabs>
        <w:numPr>
          <w:ilvl w:val="0"/>
          <w:numId w:val="8"/>
        </w:numPr>
        <w:rPr>
          <w:rFonts w:ascii="Arial" w:cs="Arial" w:eastAsia="Arial" w:hAnsi="Arial"/>
          <w:sz w:val="22"/>
          <w:szCs w:val="22"/>
          <w:color w:val="auto"/>
        </w:rPr>
      </w:pPr>
      <w:r>
        <w:rPr>
          <w:rFonts w:ascii="Arial" w:cs="Arial" w:eastAsia="Arial" w:hAnsi="Arial"/>
          <w:sz w:val="22"/>
          <w:szCs w:val="22"/>
          <w:color w:val="auto"/>
        </w:rPr>
        <w:t>Provide an incentive for eligible employees to remain employed by Phathom through and beyond the payout of any earned bonus.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ELIGIBILITY</w:t>
      </w:r>
    </w:p>
    <w:p>
      <w:pPr>
        <w:spacing w:after="0" w:line="232"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All regular, exempt employees are eligible to participate in the Plan. Employees are not eligible if included in a separate formal incentive plan provided by the Company. In order to be eligible, a participant must remain employed through the date awards are paid for a Plan year. If the participant is not employed on the date awards are paid, the participant will not have earned any bonus. If the participant has been subject to a performance improvement plan or other disciplinary procedure during the Plan year, any award to such individual will be at the discretion of the CEO or the Compensation Committee.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in Status During the Plan Period</w:t>
      </w:r>
      <w:r>
        <w:rPr>
          <w:rFonts w:ascii="Arial" w:cs="Arial" w:eastAsia="Arial" w:hAnsi="Arial"/>
          <w:sz w:val="22"/>
          <w:szCs w:val="22"/>
          <w:color w:val="auto"/>
        </w:rPr>
        <w:t>:</w:t>
      </w:r>
    </w:p>
    <w:p>
      <w:pPr>
        <w:spacing w:after="0" w:line="6" w:lineRule="exact"/>
        <w:rPr>
          <w:sz w:val="20"/>
          <w:szCs w:val="20"/>
          <w:color w:val="auto"/>
        </w:rPr>
      </w:pPr>
    </w:p>
    <w:p>
      <w:pPr>
        <w:ind w:left="880" w:hanging="440"/>
        <w:spacing w:after="0"/>
        <w:tabs>
          <w:tab w:leader="none" w:pos="880"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Participants hired during the Plan year:</w:t>
      </w:r>
    </w:p>
    <w:p>
      <w:pPr>
        <w:ind w:left="1300" w:right="380" w:hanging="442"/>
        <w:spacing w:after="0" w:line="230" w:lineRule="auto"/>
        <w:tabs>
          <w:tab w:leader="none" w:pos="1300" w:val="left"/>
        </w:tabs>
        <w:numPr>
          <w:ilvl w:val="1"/>
          <w:numId w:val="9"/>
        </w:numPr>
        <w:rPr>
          <w:rFonts w:ascii="Arial" w:cs="Arial" w:eastAsia="Arial" w:hAnsi="Arial"/>
          <w:sz w:val="22"/>
          <w:szCs w:val="22"/>
          <w:color w:val="auto"/>
        </w:rPr>
      </w:pPr>
      <w:r>
        <w:rPr>
          <w:rFonts w:ascii="Arial" w:cs="Arial" w:eastAsia="Arial" w:hAnsi="Arial"/>
          <w:sz w:val="22"/>
          <w:szCs w:val="22"/>
          <w:color w:val="auto"/>
        </w:rPr>
        <w:t>Participants hired during the Plan year are eligible for a prorated award based the number of months employed in an eligible position.</w:t>
      </w:r>
    </w:p>
    <w:p>
      <w:pPr>
        <w:spacing w:after="0" w:line="1" w:lineRule="exact"/>
        <w:rPr>
          <w:rFonts w:ascii="Arial" w:cs="Arial" w:eastAsia="Arial" w:hAnsi="Arial"/>
          <w:sz w:val="22"/>
          <w:szCs w:val="22"/>
          <w:color w:val="auto"/>
        </w:rPr>
      </w:pPr>
    </w:p>
    <w:p>
      <w:pPr>
        <w:ind w:left="1300" w:right="720" w:hanging="442"/>
        <w:spacing w:after="0" w:line="238" w:lineRule="auto"/>
        <w:tabs>
          <w:tab w:leader="none" w:pos="1300" w:val="left"/>
        </w:tabs>
        <w:numPr>
          <w:ilvl w:val="1"/>
          <w:numId w:val="9"/>
        </w:numPr>
        <w:rPr>
          <w:rFonts w:ascii="Arial" w:cs="Arial" w:eastAsia="Arial" w:hAnsi="Arial"/>
          <w:sz w:val="22"/>
          <w:szCs w:val="22"/>
          <w:color w:val="auto"/>
        </w:rPr>
      </w:pPr>
      <w:r>
        <w:rPr>
          <w:rFonts w:ascii="Arial" w:cs="Arial" w:eastAsia="Arial" w:hAnsi="Arial"/>
          <w:sz w:val="22"/>
          <w:szCs w:val="22"/>
          <w:color w:val="auto"/>
        </w:rPr>
        <w:t>In order to be eligible, a participant must have been in an eligible position for at least three (3) full consecutive months prior to the end of the Plan year.</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480" w:type="dxa"/>
            <w:vAlign w:val="bottom"/>
          </w:tcPr>
          <w:p>
            <w:pPr>
              <w:spacing w:after="0"/>
              <w:rPr>
                <w:sz w:val="20"/>
                <w:szCs w:val="20"/>
                <w:color w:val="auto"/>
              </w:rPr>
            </w:pPr>
            <w:r>
              <w:rPr>
                <w:rFonts w:ascii="Arial" w:cs="Arial" w:eastAsia="Arial" w:hAnsi="Arial"/>
                <w:sz w:val="14"/>
                <w:szCs w:val="14"/>
                <w:color w:val="auto"/>
              </w:rPr>
              <w:t>US-DOCS\113699376.3</w:t>
            </w:r>
          </w:p>
        </w:tc>
        <w:tc>
          <w:tcPr>
            <w:tcW w:w="7780" w:type="dxa"/>
            <w:vAlign w:val="bottom"/>
          </w:tcPr>
          <w:p>
            <w:pPr>
              <w:jc w:val="right"/>
              <w:ind w:right="5492"/>
              <w:spacing w:after="0"/>
              <w:rPr>
                <w:sz w:val="20"/>
                <w:szCs w:val="20"/>
                <w:color w:val="auto"/>
              </w:rPr>
            </w:pPr>
            <w:r>
              <w:rPr>
                <w:rFonts w:ascii="Arial" w:cs="Arial" w:eastAsia="Arial" w:hAnsi="Arial"/>
                <w:sz w:val="22"/>
                <w:szCs w:val="22"/>
                <w:color w:val="auto"/>
              </w:rPr>
              <w:t>1</w:t>
            </w:r>
          </w:p>
        </w:tc>
      </w:tr>
      <w:tr>
        <w:trPr>
          <w:trHeight w:val="437"/>
        </w:trPr>
        <w:tc>
          <w:tcPr>
            <w:tcW w:w="348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36" w:name="page37"/>
    <w:bookmarkEnd w:id="36"/>
    <w:p>
      <w:pPr>
        <w:jc w:val="right"/>
        <w:ind w:right="20"/>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0"/>
          <w:szCs w:val="20"/>
          <w:color w:val="auto"/>
        </w:rPr>
      </w:pPr>
    </w:p>
    <w:p>
      <w:pPr>
        <w:ind w:left="880" w:hanging="440"/>
        <w:spacing w:after="0"/>
        <w:tabs>
          <w:tab w:leader="none" w:pos="880"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Promotion/change in level:</w:t>
      </w:r>
    </w:p>
    <w:p>
      <w:pPr>
        <w:spacing w:after="0" w:line="12" w:lineRule="exact"/>
        <w:rPr>
          <w:rFonts w:ascii="Arial" w:cs="Arial" w:eastAsia="Arial" w:hAnsi="Arial"/>
          <w:sz w:val="22"/>
          <w:szCs w:val="22"/>
          <w:color w:val="auto"/>
        </w:rPr>
      </w:pPr>
    </w:p>
    <w:p>
      <w:pPr>
        <w:ind w:left="1300" w:right="60" w:hanging="442"/>
        <w:spacing w:after="0" w:line="230" w:lineRule="auto"/>
        <w:tabs>
          <w:tab w:leader="none" w:pos="13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For promotions that occur after the fourth month of the applicable Plan year but prior to tenth month of the applicable Plan year, the calculation will be prorated, based on the number of months at each bonus percentage level.</w:t>
      </w:r>
    </w:p>
    <w:p>
      <w:pPr>
        <w:spacing w:after="0" w:line="1" w:lineRule="exact"/>
        <w:rPr>
          <w:rFonts w:ascii="Arial" w:cs="Arial" w:eastAsia="Arial" w:hAnsi="Arial"/>
          <w:sz w:val="22"/>
          <w:szCs w:val="22"/>
          <w:color w:val="auto"/>
        </w:rPr>
      </w:pPr>
    </w:p>
    <w:p>
      <w:pPr>
        <w:ind w:left="1300" w:right="180" w:hanging="442"/>
        <w:spacing w:after="0" w:line="230" w:lineRule="auto"/>
        <w:tabs>
          <w:tab w:leader="none" w:pos="13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If the promotion occurred after the ninth month of the applicable Plan year, the entire calculation will be based on the bonus percentage applicable prior to the promotion.</w:t>
      </w:r>
    </w:p>
    <w:p>
      <w:pPr>
        <w:spacing w:after="0" w:line="1" w:lineRule="exact"/>
        <w:rPr>
          <w:rFonts w:ascii="Arial" w:cs="Arial" w:eastAsia="Arial" w:hAnsi="Arial"/>
          <w:sz w:val="22"/>
          <w:szCs w:val="22"/>
          <w:color w:val="auto"/>
        </w:rPr>
      </w:pPr>
    </w:p>
    <w:p>
      <w:pPr>
        <w:ind w:left="880" w:hanging="440"/>
        <w:spacing w:after="0" w:line="230" w:lineRule="auto"/>
        <w:tabs>
          <w:tab w:leader="none" w:pos="880"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Transfer to a position that is included in a separate formal Incentive Plan:</w:t>
      </w:r>
    </w:p>
    <w:p>
      <w:pPr>
        <w:ind w:left="880" w:right="500"/>
        <w:spacing w:after="0" w:line="230" w:lineRule="auto"/>
        <w:rPr>
          <w:rFonts w:ascii="Arial" w:cs="Arial" w:eastAsia="Arial" w:hAnsi="Arial"/>
          <w:sz w:val="22"/>
          <w:szCs w:val="22"/>
          <w:color w:val="auto"/>
        </w:rPr>
      </w:pPr>
      <w:r>
        <w:rPr>
          <w:rFonts w:ascii="Arial" w:cs="Arial" w:eastAsia="Arial" w:hAnsi="Arial"/>
          <w:sz w:val="22"/>
          <w:szCs w:val="22"/>
          <w:color w:val="auto"/>
        </w:rPr>
        <w:t>Awards will be pro-rated using the same discipline as outlined for promotions above and in the separate formal incentive plan.</w:t>
      </w:r>
    </w:p>
    <w:p>
      <w:pPr>
        <w:spacing w:after="0" w:line="1" w:lineRule="exact"/>
        <w:rPr>
          <w:rFonts w:ascii="Arial" w:cs="Arial" w:eastAsia="Arial" w:hAnsi="Arial"/>
          <w:sz w:val="22"/>
          <w:szCs w:val="22"/>
          <w:color w:val="auto"/>
        </w:rPr>
      </w:pPr>
    </w:p>
    <w:p>
      <w:pPr>
        <w:ind w:left="880" w:hanging="440"/>
        <w:spacing w:after="0" w:line="230" w:lineRule="auto"/>
        <w:tabs>
          <w:tab w:leader="none" w:pos="880"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Termination of employment:</w:t>
      </w:r>
    </w:p>
    <w:p>
      <w:pPr>
        <w:ind w:left="1300" w:right="240" w:hanging="442"/>
        <w:spacing w:after="0" w:line="230" w:lineRule="auto"/>
        <w:tabs>
          <w:tab w:leader="none" w:pos="13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If a participant’s employment is terminated voluntarily prior to the date awards are paid, the participant will not be eligible to receive an award.</w:t>
      </w:r>
    </w:p>
    <w:p>
      <w:pPr>
        <w:spacing w:after="0" w:line="1" w:lineRule="exact"/>
        <w:rPr>
          <w:rFonts w:ascii="Arial" w:cs="Arial" w:eastAsia="Arial" w:hAnsi="Arial"/>
          <w:sz w:val="22"/>
          <w:szCs w:val="22"/>
          <w:color w:val="auto"/>
        </w:rPr>
      </w:pPr>
    </w:p>
    <w:p>
      <w:pPr>
        <w:ind w:left="1300" w:right="60" w:hanging="442"/>
        <w:spacing w:after="0" w:line="230" w:lineRule="auto"/>
        <w:tabs>
          <w:tab w:leader="none" w:pos="13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If a participant’s employment is terminated involuntarily prior to the date awards are paid, it will be at the absolute discretion of the Company whether or not an award payment is made.</w:t>
      </w:r>
    </w:p>
    <w:p>
      <w:pPr>
        <w:spacing w:after="0" w:line="1" w:lineRule="exact"/>
        <w:rPr>
          <w:rFonts w:ascii="Arial" w:cs="Arial" w:eastAsia="Arial" w:hAnsi="Arial"/>
          <w:sz w:val="22"/>
          <w:szCs w:val="22"/>
          <w:color w:val="auto"/>
        </w:rPr>
      </w:pPr>
    </w:p>
    <w:p>
      <w:pPr>
        <w:ind w:left="880" w:right="240" w:hanging="440"/>
        <w:spacing w:after="0" w:line="250" w:lineRule="auto"/>
        <w:tabs>
          <w:tab w:leader="none" w:pos="880" w:val="left"/>
        </w:tabs>
        <w:numPr>
          <w:ilvl w:val="0"/>
          <w:numId w:val="10"/>
        </w:numPr>
        <w:rPr>
          <w:rFonts w:ascii="Arial" w:cs="Arial" w:eastAsia="Arial" w:hAnsi="Arial"/>
          <w:sz w:val="21"/>
          <w:szCs w:val="21"/>
          <w:color w:val="auto"/>
        </w:rPr>
      </w:pPr>
      <w:r>
        <w:rPr>
          <w:rFonts w:ascii="Arial" w:cs="Arial" w:eastAsia="Arial" w:hAnsi="Arial"/>
          <w:sz w:val="21"/>
          <w:szCs w:val="21"/>
          <w:i w:val="1"/>
          <w:iCs w:val="1"/>
          <w:color w:val="auto"/>
        </w:rPr>
        <w:t xml:space="preserve">Leave of Absence: </w:t>
      </w:r>
      <w:r>
        <w:rPr>
          <w:rFonts w:ascii="Arial" w:cs="Arial" w:eastAsia="Arial" w:hAnsi="Arial"/>
          <w:sz w:val="21"/>
          <w:szCs w:val="21"/>
          <w:color w:val="auto"/>
        </w:rPr>
        <w:t>Employee may be considered for a prorated award in the event of a leave of absence</w:t>
      </w:r>
      <w:r>
        <w:rPr>
          <w:rFonts w:ascii="Arial" w:cs="Arial" w:eastAsia="Arial" w:hAnsi="Arial"/>
          <w:sz w:val="21"/>
          <w:szCs w:val="21"/>
          <w:i w:val="1"/>
          <w:iCs w:val="1"/>
          <w:color w:val="auto"/>
        </w:rPr>
        <w:t xml:space="preserve"> </w:t>
      </w:r>
      <w:r>
        <w:rPr>
          <w:rFonts w:ascii="Arial" w:cs="Arial" w:eastAsia="Arial" w:hAnsi="Arial"/>
          <w:sz w:val="21"/>
          <w:szCs w:val="21"/>
          <w:color w:val="auto"/>
        </w:rPr>
        <w:t>during the Plan year. The proration requirement can be waived at the discretion of the Chief Administrative Officer or for members of Executive Leadership team at the discretion of the Compensation Committee.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AWARD CALCULATION</w:t>
      </w:r>
    </w:p>
    <w:p>
      <w:pPr>
        <w:spacing w:after="0" w:line="232"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Awards will be determined by applying a “bonus percentage” to the participant’s base salary in effect at the end of the Plan year. While the Compensation Committee may change the bonus percentage for any Plan year, the following bonus percentages will initially be used for this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4744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32320" cy="1474470"/>
                    </a:xfrm>
                    <a:prstGeom prst="rect">
                      <a:avLst/>
                    </a:prstGeom>
                    <a:noFill/>
                  </pic:spPr>
                </pic:pic>
              </a:graphicData>
            </a:graphic>
          </wp:anchor>
        </w:drawing>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480" w:type="dxa"/>
            <w:vAlign w:val="bottom"/>
          </w:tcPr>
          <w:p>
            <w:pPr>
              <w:ind w:left="2180"/>
              <w:spacing w:after="0"/>
              <w:rPr>
                <w:sz w:val="20"/>
                <w:szCs w:val="20"/>
                <w:color w:val="auto"/>
              </w:rPr>
            </w:pPr>
            <w:r>
              <w:rPr>
                <w:rFonts w:ascii="Arial" w:cs="Arial" w:eastAsia="Arial" w:hAnsi="Arial"/>
                <w:sz w:val="22"/>
                <w:szCs w:val="22"/>
                <w:color w:val="auto"/>
              </w:rPr>
              <w:t>Position Title</w:t>
            </w:r>
          </w:p>
        </w:tc>
        <w:tc>
          <w:tcPr>
            <w:tcW w:w="3820" w:type="dxa"/>
            <w:vAlign w:val="bottom"/>
          </w:tcPr>
          <w:p>
            <w:pPr>
              <w:jc w:val="center"/>
              <w:ind w:left="1932"/>
              <w:spacing w:after="0"/>
              <w:rPr>
                <w:sz w:val="20"/>
                <w:szCs w:val="20"/>
                <w:color w:val="auto"/>
              </w:rPr>
            </w:pPr>
            <w:r>
              <w:rPr>
                <w:rFonts w:ascii="Arial" w:cs="Arial" w:eastAsia="Arial" w:hAnsi="Arial"/>
                <w:sz w:val="22"/>
                <w:szCs w:val="22"/>
                <w:color w:val="auto"/>
                <w:w w:val="98"/>
              </w:rPr>
              <w:t>Bonus Percentage</w:t>
            </w:r>
          </w:p>
        </w:tc>
      </w:tr>
      <w:tr>
        <w:trPr>
          <w:trHeight w:val="257"/>
        </w:trPr>
        <w:tc>
          <w:tcPr>
            <w:tcW w:w="5480" w:type="dxa"/>
            <w:vAlign w:val="bottom"/>
          </w:tcPr>
          <w:p>
            <w:pPr>
              <w:spacing w:after="0"/>
              <w:rPr>
                <w:sz w:val="20"/>
                <w:szCs w:val="20"/>
                <w:color w:val="auto"/>
              </w:rPr>
            </w:pPr>
            <w:r>
              <w:rPr>
                <w:rFonts w:ascii="Arial" w:cs="Arial" w:eastAsia="Arial" w:hAnsi="Arial"/>
                <w:sz w:val="22"/>
                <w:szCs w:val="22"/>
                <w:color w:val="auto"/>
              </w:rPr>
              <w:t>CEO</w:t>
            </w:r>
          </w:p>
        </w:tc>
        <w:tc>
          <w:tcPr>
            <w:tcW w:w="3820" w:type="dxa"/>
            <w:vAlign w:val="bottom"/>
          </w:tcPr>
          <w:p>
            <w:pPr>
              <w:jc w:val="center"/>
              <w:ind w:left="1932"/>
              <w:spacing w:after="0"/>
              <w:rPr>
                <w:sz w:val="20"/>
                <w:szCs w:val="20"/>
                <w:color w:val="auto"/>
              </w:rPr>
            </w:pPr>
            <w:r>
              <w:rPr>
                <w:rFonts w:ascii="Arial" w:cs="Arial" w:eastAsia="Arial" w:hAnsi="Arial"/>
                <w:sz w:val="22"/>
                <w:szCs w:val="22"/>
                <w:color w:val="auto"/>
                <w:w w:val="95"/>
              </w:rPr>
              <w:t>50%</w:t>
            </w:r>
          </w:p>
        </w:tc>
      </w:tr>
      <w:tr>
        <w:trPr>
          <w:trHeight w:val="256"/>
        </w:trPr>
        <w:tc>
          <w:tcPr>
            <w:tcW w:w="5480" w:type="dxa"/>
            <w:vAlign w:val="bottom"/>
          </w:tcPr>
          <w:p>
            <w:pPr>
              <w:spacing w:after="0"/>
              <w:rPr>
                <w:sz w:val="20"/>
                <w:szCs w:val="20"/>
                <w:color w:val="auto"/>
              </w:rPr>
            </w:pPr>
            <w:r>
              <w:rPr>
                <w:rFonts w:ascii="Arial" w:cs="Arial" w:eastAsia="Arial" w:hAnsi="Arial"/>
                <w:sz w:val="22"/>
                <w:szCs w:val="22"/>
                <w:color w:val="auto"/>
              </w:rPr>
              <w:t>COO and CFO</w:t>
            </w:r>
          </w:p>
        </w:tc>
        <w:tc>
          <w:tcPr>
            <w:tcW w:w="3820" w:type="dxa"/>
            <w:vAlign w:val="bottom"/>
          </w:tcPr>
          <w:p>
            <w:pPr>
              <w:jc w:val="center"/>
              <w:ind w:left="1932"/>
              <w:spacing w:after="0"/>
              <w:rPr>
                <w:sz w:val="20"/>
                <w:szCs w:val="20"/>
                <w:color w:val="auto"/>
              </w:rPr>
            </w:pPr>
            <w:r>
              <w:rPr>
                <w:rFonts w:ascii="Arial" w:cs="Arial" w:eastAsia="Arial" w:hAnsi="Arial"/>
                <w:sz w:val="22"/>
                <w:szCs w:val="22"/>
                <w:color w:val="auto"/>
                <w:w w:val="95"/>
              </w:rPr>
              <w:t>40%</w:t>
            </w:r>
          </w:p>
        </w:tc>
      </w:tr>
      <w:tr>
        <w:trPr>
          <w:trHeight w:val="257"/>
        </w:trPr>
        <w:tc>
          <w:tcPr>
            <w:tcW w:w="5480" w:type="dxa"/>
            <w:vAlign w:val="bottom"/>
          </w:tcPr>
          <w:p>
            <w:pPr>
              <w:spacing w:after="0"/>
              <w:rPr>
                <w:sz w:val="20"/>
                <w:szCs w:val="20"/>
                <w:color w:val="auto"/>
              </w:rPr>
            </w:pPr>
            <w:r>
              <w:rPr>
                <w:rFonts w:ascii="Arial" w:cs="Arial" w:eastAsia="Arial" w:hAnsi="Arial"/>
                <w:sz w:val="22"/>
                <w:szCs w:val="22"/>
                <w:color w:val="auto"/>
              </w:rPr>
              <w:t>Executive Leadership Team</w:t>
            </w:r>
          </w:p>
        </w:tc>
        <w:tc>
          <w:tcPr>
            <w:tcW w:w="3820" w:type="dxa"/>
            <w:vAlign w:val="bottom"/>
          </w:tcPr>
          <w:p>
            <w:pPr>
              <w:jc w:val="center"/>
              <w:ind w:left="1932"/>
              <w:spacing w:after="0"/>
              <w:rPr>
                <w:sz w:val="20"/>
                <w:szCs w:val="20"/>
                <w:color w:val="auto"/>
              </w:rPr>
            </w:pPr>
            <w:r>
              <w:rPr>
                <w:rFonts w:ascii="Arial" w:cs="Arial" w:eastAsia="Arial" w:hAnsi="Arial"/>
                <w:sz w:val="22"/>
                <w:szCs w:val="22"/>
                <w:color w:val="auto"/>
                <w:w w:val="95"/>
              </w:rPr>
              <w:t>35%</w:t>
            </w:r>
          </w:p>
        </w:tc>
      </w:tr>
      <w:tr>
        <w:trPr>
          <w:trHeight w:val="256"/>
        </w:trPr>
        <w:tc>
          <w:tcPr>
            <w:tcW w:w="5480" w:type="dxa"/>
            <w:vAlign w:val="bottom"/>
          </w:tcPr>
          <w:p>
            <w:pPr>
              <w:spacing w:after="0"/>
              <w:rPr>
                <w:sz w:val="20"/>
                <w:szCs w:val="20"/>
                <w:color w:val="auto"/>
              </w:rPr>
            </w:pPr>
            <w:r>
              <w:rPr>
                <w:rFonts w:ascii="Arial" w:cs="Arial" w:eastAsia="Arial" w:hAnsi="Arial"/>
                <w:sz w:val="22"/>
                <w:szCs w:val="22"/>
                <w:color w:val="auto"/>
              </w:rPr>
              <w:t>VP</w:t>
            </w:r>
          </w:p>
        </w:tc>
        <w:tc>
          <w:tcPr>
            <w:tcW w:w="3820" w:type="dxa"/>
            <w:vAlign w:val="bottom"/>
          </w:tcPr>
          <w:p>
            <w:pPr>
              <w:jc w:val="center"/>
              <w:ind w:left="1932"/>
              <w:spacing w:after="0"/>
              <w:rPr>
                <w:sz w:val="20"/>
                <w:szCs w:val="20"/>
                <w:color w:val="auto"/>
              </w:rPr>
            </w:pPr>
            <w:r>
              <w:rPr>
                <w:rFonts w:ascii="Arial" w:cs="Arial" w:eastAsia="Arial" w:hAnsi="Arial"/>
                <w:sz w:val="22"/>
                <w:szCs w:val="22"/>
                <w:color w:val="auto"/>
                <w:w w:val="95"/>
              </w:rPr>
              <w:t>30%</w:t>
            </w:r>
          </w:p>
        </w:tc>
      </w:tr>
      <w:tr>
        <w:trPr>
          <w:trHeight w:val="257"/>
        </w:trPr>
        <w:tc>
          <w:tcPr>
            <w:tcW w:w="5480" w:type="dxa"/>
            <w:vAlign w:val="bottom"/>
          </w:tcPr>
          <w:p>
            <w:pPr>
              <w:spacing w:after="0"/>
              <w:rPr>
                <w:sz w:val="20"/>
                <w:szCs w:val="20"/>
                <w:color w:val="auto"/>
              </w:rPr>
            </w:pPr>
            <w:r>
              <w:rPr>
                <w:rFonts w:ascii="Arial" w:cs="Arial" w:eastAsia="Arial" w:hAnsi="Arial"/>
                <w:sz w:val="22"/>
                <w:szCs w:val="22"/>
                <w:color w:val="auto"/>
              </w:rPr>
              <w:t>Senior Director, Director</w:t>
            </w:r>
          </w:p>
        </w:tc>
        <w:tc>
          <w:tcPr>
            <w:tcW w:w="3820" w:type="dxa"/>
            <w:vAlign w:val="bottom"/>
          </w:tcPr>
          <w:p>
            <w:pPr>
              <w:jc w:val="center"/>
              <w:ind w:left="1932"/>
              <w:spacing w:after="0"/>
              <w:rPr>
                <w:sz w:val="20"/>
                <w:szCs w:val="20"/>
                <w:color w:val="auto"/>
              </w:rPr>
            </w:pPr>
            <w:r>
              <w:rPr>
                <w:rFonts w:ascii="Arial" w:cs="Arial" w:eastAsia="Arial" w:hAnsi="Arial"/>
                <w:sz w:val="22"/>
                <w:szCs w:val="22"/>
                <w:color w:val="auto"/>
                <w:w w:val="95"/>
              </w:rPr>
              <w:t>25%</w:t>
            </w:r>
          </w:p>
        </w:tc>
      </w:tr>
      <w:tr>
        <w:trPr>
          <w:trHeight w:val="256"/>
        </w:trPr>
        <w:tc>
          <w:tcPr>
            <w:tcW w:w="5480" w:type="dxa"/>
            <w:vAlign w:val="bottom"/>
          </w:tcPr>
          <w:p>
            <w:pPr>
              <w:spacing w:after="0"/>
              <w:rPr>
                <w:sz w:val="20"/>
                <w:szCs w:val="20"/>
                <w:color w:val="auto"/>
              </w:rPr>
            </w:pPr>
            <w:r>
              <w:rPr>
                <w:rFonts w:ascii="Arial" w:cs="Arial" w:eastAsia="Arial" w:hAnsi="Arial"/>
                <w:sz w:val="22"/>
                <w:szCs w:val="22"/>
                <w:color w:val="auto"/>
              </w:rPr>
              <w:t>Associate Director</w:t>
            </w:r>
          </w:p>
        </w:tc>
        <w:tc>
          <w:tcPr>
            <w:tcW w:w="3820" w:type="dxa"/>
            <w:vAlign w:val="bottom"/>
          </w:tcPr>
          <w:p>
            <w:pPr>
              <w:jc w:val="center"/>
              <w:ind w:left="1932"/>
              <w:spacing w:after="0"/>
              <w:rPr>
                <w:sz w:val="20"/>
                <w:szCs w:val="20"/>
                <w:color w:val="auto"/>
              </w:rPr>
            </w:pPr>
            <w:r>
              <w:rPr>
                <w:rFonts w:ascii="Arial" w:cs="Arial" w:eastAsia="Arial" w:hAnsi="Arial"/>
                <w:sz w:val="22"/>
                <w:szCs w:val="22"/>
                <w:color w:val="auto"/>
                <w:w w:val="95"/>
              </w:rPr>
              <w:t>20%</w:t>
            </w:r>
          </w:p>
        </w:tc>
      </w:tr>
      <w:tr>
        <w:trPr>
          <w:trHeight w:val="257"/>
        </w:trPr>
        <w:tc>
          <w:tcPr>
            <w:tcW w:w="5480" w:type="dxa"/>
            <w:vAlign w:val="bottom"/>
          </w:tcPr>
          <w:p>
            <w:pPr>
              <w:spacing w:after="0"/>
              <w:rPr>
                <w:sz w:val="20"/>
                <w:szCs w:val="20"/>
                <w:color w:val="auto"/>
              </w:rPr>
            </w:pPr>
            <w:r>
              <w:rPr>
                <w:rFonts w:ascii="Arial" w:cs="Arial" w:eastAsia="Arial" w:hAnsi="Arial"/>
                <w:sz w:val="22"/>
                <w:szCs w:val="22"/>
                <w:color w:val="auto"/>
              </w:rPr>
              <w:t>Senior Manager, Manager</w:t>
            </w:r>
          </w:p>
        </w:tc>
        <w:tc>
          <w:tcPr>
            <w:tcW w:w="3820" w:type="dxa"/>
            <w:vAlign w:val="bottom"/>
          </w:tcPr>
          <w:p>
            <w:pPr>
              <w:jc w:val="center"/>
              <w:ind w:left="1932"/>
              <w:spacing w:after="0"/>
              <w:rPr>
                <w:sz w:val="20"/>
                <w:szCs w:val="20"/>
                <w:color w:val="auto"/>
              </w:rPr>
            </w:pPr>
            <w:r>
              <w:rPr>
                <w:rFonts w:ascii="Arial" w:cs="Arial" w:eastAsia="Arial" w:hAnsi="Arial"/>
                <w:sz w:val="22"/>
                <w:szCs w:val="22"/>
                <w:color w:val="auto"/>
                <w:w w:val="95"/>
              </w:rPr>
              <w:t>15%</w:t>
            </w:r>
          </w:p>
        </w:tc>
      </w:tr>
      <w:tr>
        <w:trPr>
          <w:trHeight w:val="259"/>
        </w:trPr>
        <w:tc>
          <w:tcPr>
            <w:tcW w:w="5480" w:type="dxa"/>
            <w:vAlign w:val="bottom"/>
          </w:tcPr>
          <w:p>
            <w:pPr>
              <w:spacing w:after="0"/>
              <w:rPr>
                <w:sz w:val="20"/>
                <w:szCs w:val="20"/>
                <w:color w:val="auto"/>
              </w:rPr>
            </w:pPr>
            <w:r>
              <w:rPr>
                <w:rFonts w:ascii="Arial" w:cs="Arial" w:eastAsia="Arial" w:hAnsi="Arial"/>
                <w:sz w:val="22"/>
                <w:szCs w:val="22"/>
                <w:color w:val="auto"/>
              </w:rPr>
              <w:t>Below Manager</w:t>
            </w:r>
          </w:p>
        </w:tc>
        <w:tc>
          <w:tcPr>
            <w:tcW w:w="3820" w:type="dxa"/>
            <w:vAlign w:val="bottom"/>
          </w:tcPr>
          <w:p>
            <w:pPr>
              <w:jc w:val="center"/>
              <w:ind w:left="1932"/>
              <w:spacing w:after="0"/>
              <w:rPr>
                <w:sz w:val="20"/>
                <w:szCs w:val="20"/>
                <w:color w:val="auto"/>
              </w:rPr>
            </w:pPr>
            <w:r>
              <w:rPr>
                <w:rFonts w:ascii="Arial" w:cs="Arial" w:eastAsia="Arial" w:hAnsi="Arial"/>
                <w:sz w:val="22"/>
                <w:szCs w:val="22"/>
                <w:color w:val="auto"/>
                <w:w w:val="95"/>
              </w:rPr>
              <w:t>10%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Individual Performance Factors</w:t>
      </w:r>
    </w:p>
    <w:p>
      <w:pPr>
        <w:spacing w:after="0" w:line="232" w:lineRule="exact"/>
        <w:rPr>
          <w:sz w:val="20"/>
          <w:szCs w:val="20"/>
          <w:color w:val="auto"/>
        </w:rPr>
      </w:pPr>
    </w:p>
    <w:p>
      <w:pPr>
        <w:jc w:val="both"/>
        <w:ind w:right="200"/>
        <w:spacing w:after="0" w:line="234" w:lineRule="auto"/>
        <w:rPr>
          <w:sz w:val="20"/>
          <w:szCs w:val="20"/>
          <w:color w:val="auto"/>
        </w:rPr>
      </w:pPr>
      <w:r>
        <w:rPr>
          <w:rFonts w:ascii="Arial" w:cs="Arial" w:eastAsia="Arial" w:hAnsi="Arial"/>
          <w:sz w:val="22"/>
          <w:szCs w:val="22"/>
          <w:color w:val="auto"/>
        </w:rPr>
        <w:t>The CEO will present to the Compensation Committee a list of weighted corporate objectives for the applicable Plan year, which are subject to approval by the Compensation Committee. All participants in the Plan will then develop a list of key individual objectives, which must be approved by the responsible Vice President or Senior Vice President and, in the case of executive officers, by the CEO.</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480" w:type="dxa"/>
            <w:vAlign w:val="bottom"/>
          </w:tcPr>
          <w:p>
            <w:pPr>
              <w:spacing w:after="0"/>
              <w:rPr>
                <w:sz w:val="20"/>
                <w:szCs w:val="20"/>
                <w:color w:val="auto"/>
              </w:rPr>
            </w:pPr>
            <w:r>
              <w:rPr>
                <w:rFonts w:ascii="Arial" w:cs="Arial" w:eastAsia="Arial" w:hAnsi="Arial"/>
                <w:sz w:val="14"/>
                <w:szCs w:val="14"/>
                <w:color w:val="auto"/>
              </w:rPr>
              <w:t>US-DOCS\113699376.3</w:t>
            </w:r>
          </w:p>
        </w:tc>
        <w:tc>
          <w:tcPr>
            <w:tcW w:w="7780" w:type="dxa"/>
            <w:vAlign w:val="bottom"/>
          </w:tcPr>
          <w:p>
            <w:pPr>
              <w:jc w:val="right"/>
              <w:ind w:right="5492"/>
              <w:spacing w:after="0"/>
              <w:rPr>
                <w:sz w:val="20"/>
                <w:szCs w:val="20"/>
                <w:color w:val="auto"/>
              </w:rPr>
            </w:pPr>
            <w:r>
              <w:rPr>
                <w:rFonts w:ascii="Arial" w:cs="Arial" w:eastAsia="Arial" w:hAnsi="Arial"/>
                <w:sz w:val="22"/>
                <w:szCs w:val="22"/>
                <w:color w:val="auto"/>
              </w:rPr>
              <w:t>2</w:t>
            </w:r>
          </w:p>
        </w:tc>
      </w:tr>
      <w:tr>
        <w:trPr>
          <w:trHeight w:val="438"/>
        </w:trPr>
        <w:tc>
          <w:tcPr>
            <w:tcW w:w="348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37" w:name="page38"/>
    <w:bookmarkEnd w:id="37"/>
    <w:p>
      <w:pPr>
        <w:jc w:val="right"/>
        <w:ind w:right="20"/>
        <w:spacing w:after="0"/>
        <w:rPr>
          <w:sz w:val="20"/>
          <w:szCs w:val="20"/>
          <w:color w:val="auto"/>
        </w:rPr>
      </w:pPr>
      <w:r>
        <w:rPr>
          <w:rFonts w:ascii="Arial" w:cs="Arial" w:eastAsia="Arial" w:hAnsi="Arial"/>
          <w:sz w:val="22"/>
          <w:szCs w:val="22"/>
          <w:b w:val="1"/>
          <w:bCs w:val="1"/>
          <w:color w:val="auto"/>
        </w:rPr>
        <w:t>CONFIDENTIAL</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color w:val="auto"/>
        </w:rPr>
        <w:t>The relative weight between corporate and individual performance factors varies based on the individual’s assigned level within the organization. The weighting may be reviewed periodically and may be adjusted for any Plan year. The weighting for the performance factors will initially be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20" w:type="dxa"/>
            <w:vAlign w:val="bottom"/>
            <w:vMerge w:val="restart"/>
          </w:tcPr>
          <w:p>
            <w:pPr>
              <w:spacing w:after="0"/>
              <w:rPr>
                <w:sz w:val="20"/>
                <w:szCs w:val="20"/>
                <w:color w:val="auto"/>
              </w:rPr>
            </w:pPr>
            <w:r>
              <w:rPr>
                <w:rFonts w:ascii="Arial" w:cs="Arial" w:eastAsia="Arial" w:hAnsi="Arial"/>
                <w:sz w:val="22"/>
                <w:szCs w:val="22"/>
                <w:color w:val="auto"/>
              </w:rPr>
              <w:t>Executive Leadership Team</w:t>
            </w:r>
          </w:p>
        </w:tc>
        <w:tc>
          <w:tcPr>
            <w:tcW w:w="1780" w:type="dxa"/>
            <w:vAlign w:val="bottom"/>
            <w:gridSpan w:val="2"/>
          </w:tcPr>
          <w:p>
            <w:pPr>
              <w:ind w:left="300"/>
              <w:spacing w:after="0"/>
              <w:rPr>
                <w:sz w:val="20"/>
                <w:szCs w:val="20"/>
                <w:color w:val="auto"/>
              </w:rPr>
            </w:pPr>
            <w:r>
              <w:rPr>
                <w:rFonts w:ascii="Arial" w:cs="Arial" w:eastAsia="Arial" w:hAnsi="Arial"/>
                <w:sz w:val="22"/>
                <w:szCs w:val="22"/>
                <w:color w:val="auto"/>
              </w:rPr>
              <w:t>Corporate</w:t>
            </w:r>
          </w:p>
        </w:tc>
        <w:tc>
          <w:tcPr>
            <w:tcW w:w="1600" w:type="dxa"/>
            <w:vAlign w:val="bottom"/>
          </w:tcPr>
          <w:p>
            <w:pPr>
              <w:ind w:left="340"/>
              <w:spacing w:after="0"/>
              <w:rPr>
                <w:sz w:val="20"/>
                <w:szCs w:val="20"/>
                <w:color w:val="auto"/>
              </w:rPr>
            </w:pPr>
            <w:r>
              <w:rPr>
                <w:rFonts w:ascii="Arial" w:cs="Arial" w:eastAsia="Arial" w:hAnsi="Arial"/>
                <w:sz w:val="22"/>
                <w:szCs w:val="22"/>
                <w:color w:val="auto"/>
              </w:rPr>
              <w:t>Individual</w:t>
            </w:r>
          </w:p>
        </w:tc>
        <w:tc>
          <w:tcPr>
            <w:tcW w:w="0" w:type="dxa"/>
            <w:vAlign w:val="bottom"/>
          </w:tcPr>
          <w:p>
            <w:pPr>
              <w:spacing w:after="0"/>
              <w:rPr>
                <w:sz w:val="1"/>
                <w:szCs w:val="1"/>
                <w:color w:val="auto"/>
              </w:rPr>
            </w:pPr>
          </w:p>
        </w:tc>
      </w:tr>
      <w:tr>
        <w:trPr>
          <w:trHeight w:val="230"/>
        </w:trPr>
        <w:tc>
          <w:tcPr>
            <w:tcW w:w="6720" w:type="dxa"/>
            <w:vAlign w:val="bottom"/>
            <w:vMerge w:val="continue"/>
          </w:tcPr>
          <w:p>
            <w:pPr>
              <w:spacing w:after="0"/>
              <w:rPr>
                <w:sz w:val="20"/>
                <w:szCs w:val="20"/>
                <w:color w:val="auto"/>
              </w:rPr>
            </w:pPr>
          </w:p>
        </w:tc>
        <w:tc>
          <w:tcPr>
            <w:tcW w:w="1580" w:type="dxa"/>
            <w:vAlign w:val="bottom"/>
            <w:tcBorders>
              <w:top w:val="single" w:sz="8" w:color="auto"/>
            </w:tcBorders>
          </w:tcPr>
          <w:p>
            <w:pPr>
              <w:jc w:val="right"/>
              <w:ind w:right="212"/>
              <w:spacing w:after="0" w:line="230" w:lineRule="exact"/>
              <w:rPr>
                <w:sz w:val="20"/>
                <w:szCs w:val="20"/>
                <w:color w:val="auto"/>
              </w:rPr>
            </w:pPr>
            <w:r>
              <w:rPr>
                <w:rFonts w:ascii="Arial" w:cs="Arial" w:eastAsia="Arial" w:hAnsi="Arial"/>
                <w:sz w:val="22"/>
                <w:szCs w:val="22"/>
                <w:color w:val="auto"/>
              </w:rPr>
              <w:t>100%</w:t>
            </w:r>
          </w:p>
        </w:tc>
        <w:tc>
          <w:tcPr>
            <w:tcW w:w="200" w:type="dxa"/>
            <w:vAlign w:val="bottom"/>
          </w:tcPr>
          <w:p>
            <w:pPr>
              <w:spacing w:after="0"/>
              <w:rPr>
                <w:sz w:val="20"/>
                <w:szCs w:val="20"/>
                <w:color w:val="auto"/>
              </w:rPr>
            </w:pPr>
          </w:p>
        </w:tc>
        <w:tc>
          <w:tcPr>
            <w:tcW w:w="1600" w:type="dxa"/>
            <w:vAlign w:val="bottom"/>
            <w:tcBorders>
              <w:top w:val="single" w:sz="8" w:color="auto"/>
            </w:tcBorders>
          </w:tcPr>
          <w:p>
            <w:pPr>
              <w:ind w:left="360"/>
              <w:spacing w:after="0" w:line="230"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6720" w:type="dxa"/>
            <w:vAlign w:val="bottom"/>
          </w:tcPr>
          <w:p>
            <w:pPr>
              <w:spacing w:after="0"/>
              <w:rPr>
                <w:sz w:val="20"/>
                <w:szCs w:val="20"/>
                <w:color w:val="auto"/>
              </w:rPr>
            </w:pPr>
            <w:r>
              <w:rPr>
                <w:rFonts w:ascii="Arial" w:cs="Arial" w:eastAsia="Arial" w:hAnsi="Arial"/>
                <w:sz w:val="22"/>
                <w:szCs w:val="22"/>
                <w:color w:val="auto"/>
              </w:rPr>
              <w:t>Vice President and Above</w:t>
            </w:r>
          </w:p>
        </w:tc>
        <w:tc>
          <w:tcPr>
            <w:tcW w:w="1580" w:type="dxa"/>
            <w:vAlign w:val="bottom"/>
          </w:tcPr>
          <w:p>
            <w:pPr>
              <w:jc w:val="right"/>
              <w:ind w:right="212"/>
              <w:spacing w:after="0"/>
              <w:rPr>
                <w:sz w:val="20"/>
                <w:szCs w:val="20"/>
                <w:color w:val="auto"/>
              </w:rPr>
            </w:pPr>
            <w:r>
              <w:rPr>
                <w:rFonts w:ascii="Arial" w:cs="Arial" w:eastAsia="Arial" w:hAnsi="Arial"/>
                <w:sz w:val="22"/>
                <w:szCs w:val="22"/>
                <w:color w:val="auto"/>
              </w:rPr>
              <w:t>80%</w:t>
            </w:r>
          </w:p>
        </w:tc>
        <w:tc>
          <w:tcPr>
            <w:tcW w:w="200" w:type="dxa"/>
            <w:vAlign w:val="bottom"/>
          </w:tcPr>
          <w:p>
            <w:pPr>
              <w:spacing w:after="0"/>
              <w:rPr>
                <w:sz w:val="22"/>
                <w:szCs w:val="22"/>
                <w:color w:val="auto"/>
              </w:rPr>
            </w:pPr>
          </w:p>
        </w:tc>
        <w:tc>
          <w:tcPr>
            <w:tcW w:w="1600" w:type="dxa"/>
            <w:vAlign w:val="bottom"/>
          </w:tcPr>
          <w:p>
            <w:pPr>
              <w:ind w:left="360"/>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Director Level</w:t>
            </w:r>
          </w:p>
        </w:tc>
        <w:tc>
          <w:tcPr>
            <w:tcW w:w="158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70%</w:t>
            </w:r>
          </w:p>
        </w:tc>
        <w:tc>
          <w:tcPr>
            <w:tcW w:w="200" w:type="dxa"/>
            <w:vAlign w:val="bottom"/>
          </w:tcPr>
          <w:p>
            <w:pPr>
              <w:spacing w:after="0"/>
              <w:rPr>
                <w:sz w:val="21"/>
                <w:szCs w:val="21"/>
                <w:color w:val="auto"/>
              </w:rPr>
            </w:pPr>
          </w:p>
        </w:tc>
        <w:tc>
          <w:tcPr>
            <w:tcW w:w="1600" w:type="dxa"/>
            <w:vAlign w:val="bottom"/>
          </w:tcPr>
          <w:p>
            <w:pPr>
              <w:ind w:left="360"/>
              <w:spacing w:after="0" w:line="243" w:lineRule="exact"/>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59"/>
        </w:trPr>
        <w:tc>
          <w:tcPr>
            <w:tcW w:w="6720" w:type="dxa"/>
            <w:vAlign w:val="bottom"/>
          </w:tcPr>
          <w:p>
            <w:pPr>
              <w:spacing w:after="0"/>
              <w:rPr>
                <w:sz w:val="20"/>
                <w:szCs w:val="20"/>
                <w:color w:val="auto"/>
              </w:rPr>
            </w:pPr>
            <w:r>
              <w:rPr>
                <w:rFonts w:ascii="Arial" w:cs="Arial" w:eastAsia="Arial" w:hAnsi="Arial"/>
                <w:sz w:val="22"/>
                <w:szCs w:val="22"/>
                <w:color w:val="auto"/>
              </w:rPr>
              <w:t>Senior Manager and Below</w:t>
            </w:r>
          </w:p>
        </w:tc>
        <w:tc>
          <w:tcPr>
            <w:tcW w:w="1580" w:type="dxa"/>
            <w:vAlign w:val="bottom"/>
          </w:tcPr>
          <w:p>
            <w:pPr>
              <w:jc w:val="right"/>
              <w:ind w:right="212"/>
              <w:spacing w:after="0"/>
              <w:rPr>
                <w:sz w:val="20"/>
                <w:szCs w:val="20"/>
                <w:color w:val="auto"/>
              </w:rPr>
            </w:pPr>
            <w:r>
              <w:rPr>
                <w:rFonts w:ascii="Arial" w:cs="Arial" w:eastAsia="Arial" w:hAnsi="Arial"/>
                <w:sz w:val="22"/>
                <w:szCs w:val="22"/>
                <w:color w:val="auto"/>
              </w:rPr>
              <w:t>60%</w:t>
            </w:r>
          </w:p>
        </w:tc>
        <w:tc>
          <w:tcPr>
            <w:tcW w:w="200" w:type="dxa"/>
            <w:vAlign w:val="bottom"/>
          </w:tcPr>
          <w:p>
            <w:pPr>
              <w:spacing w:after="0"/>
              <w:rPr>
                <w:sz w:val="22"/>
                <w:szCs w:val="22"/>
                <w:color w:val="auto"/>
              </w:rPr>
            </w:pPr>
          </w:p>
        </w:tc>
        <w:tc>
          <w:tcPr>
            <w:tcW w:w="1600" w:type="dxa"/>
            <w:vAlign w:val="bottom"/>
          </w:tcPr>
          <w:p>
            <w:pPr>
              <w:ind w:left="360"/>
              <w:spacing w:after="0"/>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Award Multipliers</w:t>
      </w:r>
    </w:p>
    <w:p>
      <w:pPr>
        <w:spacing w:after="0" w:line="178"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Separate award multipliers will be established for both the corporate and, if applicable, the individual components of each award. The award multiplier for the corporate component shall be determined by the Compensation Committee each Plan year, in its sole discretion. The same award multiplier for the corporate component of the award shall be used for all Plan participants. The award multiplier for the individual component shall be determined by the responsible Vice President or Senior Vice President and by the President and / or CEO.</w:t>
      </w:r>
    </w:p>
    <w:p>
      <w:pPr>
        <w:spacing w:after="0" w:line="149" w:lineRule="exact"/>
        <w:rPr>
          <w:sz w:val="20"/>
          <w:szCs w:val="20"/>
          <w:color w:val="auto"/>
        </w:rPr>
      </w:pPr>
    </w:p>
    <w:p>
      <w:pPr>
        <w:ind w:right="300"/>
        <w:spacing w:after="0" w:line="235" w:lineRule="auto"/>
        <w:rPr>
          <w:sz w:val="20"/>
          <w:szCs w:val="20"/>
          <w:color w:val="auto"/>
        </w:rPr>
      </w:pPr>
      <w:r>
        <w:rPr>
          <w:rFonts w:ascii="Arial" w:cs="Arial" w:eastAsia="Arial" w:hAnsi="Arial"/>
          <w:sz w:val="22"/>
          <w:szCs w:val="22"/>
          <w:color w:val="auto"/>
        </w:rPr>
        <w:t>While the Compensation Committee may change the award multipliers for any Plan year, the following scale will be used to determine the actual performance award multiplier based upon the measurement of corporate and, if applicable, individual performance objectives.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Performance Category</w:t>
            </w:r>
          </w:p>
        </w:tc>
        <w:tc>
          <w:tcPr>
            <w:tcW w:w="22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7"/>
              </w:rPr>
              <w:t>Award Multiplier</w:t>
            </w:r>
          </w:p>
        </w:tc>
      </w:tr>
      <w:tr>
        <w:trPr>
          <w:trHeight w:val="365"/>
        </w:trPr>
        <w:tc>
          <w:tcPr>
            <w:tcW w:w="220" w:type="dxa"/>
            <w:vAlign w:val="bottom"/>
          </w:tcPr>
          <w:p>
            <w:pPr>
              <w:jc w:val="right"/>
              <w:spacing w:after="0"/>
              <w:rPr>
                <w:sz w:val="20"/>
                <w:szCs w:val="20"/>
                <w:color w:val="auto"/>
              </w:rPr>
            </w:pPr>
            <w:r>
              <w:rPr>
                <w:rFonts w:ascii="Arial" w:cs="Arial" w:eastAsia="Arial" w:hAnsi="Arial"/>
                <w:sz w:val="22"/>
                <w:szCs w:val="22"/>
                <w:color w:val="auto"/>
                <w:w w:val="86"/>
              </w:rPr>
              <w:t>1.</w:t>
            </w:r>
          </w:p>
        </w:tc>
        <w:tc>
          <w:tcPr>
            <w:tcW w:w="8180" w:type="dxa"/>
            <w:vAlign w:val="bottom"/>
            <w:gridSpan w:val="3"/>
          </w:tcPr>
          <w:p>
            <w:pPr>
              <w:ind w:left="60"/>
              <w:spacing w:after="0"/>
              <w:rPr>
                <w:sz w:val="20"/>
                <w:szCs w:val="20"/>
                <w:color w:val="auto"/>
              </w:rPr>
            </w:pPr>
            <w:r>
              <w:rPr>
                <w:rFonts w:ascii="Arial" w:cs="Arial" w:eastAsia="Arial" w:hAnsi="Arial"/>
                <w:sz w:val="22"/>
                <w:szCs w:val="22"/>
                <w:color w:val="auto"/>
              </w:rPr>
              <w:t>Performance was truly outstanding or exceeded all</w:t>
            </w:r>
          </w:p>
        </w:tc>
        <w:tc>
          <w:tcPr>
            <w:tcW w:w="2260" w:type="dxa"/>
            <w:vAlign w:val="bottom"/>
          </w:tcPr>
          <w:p>
            <w:pPr>
              <w:jc w:val="center"/>
              <w:ind w:left="12"/>
              <w:spacing w:after="0"/>
              <w:rPr>
                <w:sz w:val="20"/>
                <w:szCs w:val="20"/>
                <w:color w:val="auto"/>
              </w:rPr>
            </w:pPr>
            <w:r>
              <w:rPr>
                <w:rFonts w:ascii="Arial" w:cs="Arial" w:eastAsia="Arial" w:hAnsi="Arial"/>
                <w:sz w:val="22"/>
                <w:szCs w:val="22"/>
                <w:color w:val="auto"/>
                <w:w w:val="98"/>
              </w:rPr>
              <w:t>125% - 150%</w:t>
            </w:r>
          </w:p>
        </w:tc>
      </w:tr>
      <w:tr>
        <w:trPr>
          <w:trHeight w:val="259"/>
        </w:trPr>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120" w:type="dxa"/>
            <w:vAlign w:val="bottom"/>
            <w:gridSpan w:val="2"/>
          </w:tcPr>
          <w:p>
            <w:pPr>
              <w:spacing w:after="0"/>
              <w:rPr>
                <w:sz w:val="20"/>
                <w:szCs w:val="20"/>
                <w:color w:val="auto"/>
              </w:rPr>
            </w:pPr>
            <w:r>
              <w:rPr>
                <w:rFonts w:ascii="Arial" w:cs="Arial" w:eastAsia="Arial" w:hAnsi="Arial"/>
                <w:sz w:val="22"/>
                <w:szCs w:val="22"/>
                <w:color w:val="auto"/>
              </w:rPr>
              <w:t>objectives</w:t>
            </w:r>
          </w:p>
        </w:tc>
        <w:tc>
          <w:tcPr>
            <w:tcW w:w="2260" w:type="dxa"/>
            <w:vAlign w:val="bottom"/>
          </w:tcPr>
          <w:p>
            <w:pPr>
              <w:spacing w:after="0"/>
              <w:rPr>
                <w:sz w:val="22"/>
                <w:szCs w:val="22"/>
                <w:color w:val="auto"/>
              </w:rPr>
            </w:pPr>
          </w:p>
        </w:tc>
      </w:tr>
      <w:tr>
        <w:trPr>
          <w:trHeight w:val="375"/>
        </w:trPr>
        <w:tc>
          <w:tcPr>
            <w:tcW w:w="220" w:type="dxa"/>
            <w:vAlign w:val="bottom"/>
          </w:tcPr>
          <w:p>
            <w:pPr>
              <w:jc w:val="right"/>
              <w:spacing w:after="0"/>
              <w:rPr>
                <w:sz w:val="20"/>
                <w:szCs w:val="20"/>
                <w:color w:val="auto"/>
              </w:rPr>
            </w:pPr>
            <w:r>
              <w:rPr>
                <w:rFonts w:ascii="Arial" w:cs="Arial" w:eastAsia="Arial" w:hAnsi="Arial"/>
                <w:sz w:val="22"/>
                <w:szCs w:val="22"/>
                <w:color w:val="auto"/>
                <w:w w:val="86"/>
              </w:rPr>
              <w:t>2.</w:t>
            </w:r>
          </w:p>
        </w:tc>
        <w:tc>
          <w:tcPr>
            <w:tcW w:w="8180" w:type="dxa"/>
            <w:vAlign w:val="bottom"/>
            <w:gridSpan w:val="3"/>
          </w:tcPr>
          <w:p>
            <w:pPr>
              <w:ind w:left="60"/>
              <w:spacing w:after="0"/>
              <w:rPr>
                <w:sz w:val="20"/>
                <w:szCs w:val="20"/>
                <w:color w:val="auto"/>
              </w:rPr>
            </w:pPr>
            <w:r>
              <w:rPr>
                <w:rFonts w:ascii="Arial" w:cs="Arial" w:eastAsia="Arial" w:hAnsi="Arial"/>
                <w:sz w:val="22"/>
                <w:szCs w:val="22"/>
                <w:color w:val="auto"/>
              </w:rPr>
              <w:t>Performance met or exceeded all objectives or was</w:t>
            </w:r>
          </w:p>
        </w:tc>
        <w:tc>
          <w:tcPr>
            <w:tcW w:w="2260" w:type="dxa"/>
            <w:vAlign w:val="bottom"/>
          </w:tcPr>
          <w:p>
            <w:pPr>
              <w:jc w:val="center"/>
              <w:ind w:left="12"/>
              <w:spacing w:after="0"/>
              <w:rPr>
                <w:sz w:val="20"/>
                <w:szCs w:val="20"/>
                <w:color w:val="auto"/>
              </w:rPr>
            </w:pPr>
            <w:r>
              <w:rPr>
                <w:rFonts w:ascii="Arial" w:cs="Arial" w:eastAsia="Arial" w:hAnsi="Arial"/>
                <w:sz w:val="22"/>
                <w:szCs w:val="22"/>
                <w:color w:val="auto"/>
                <w:w w:val="98"/>
              </w:rPr>
              <w:t>100% - 125%</w:t>
            </w:r>
          </w:p>
        </w:tc>
      </w:tr>
      <w:tr>
        <w:trPr>
          <w:trHeight w:val="259"/>
        </w:trPr>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120" w:type="dxa"/>
            <w:vAlign w:val="bottom"/>
            <w:gridSpan w:val="2"/>
          </w:tcPr>
          <w:p>
            <w:pPr>
              <w:spacing w:after="0"/>
              <w:rPr>
                <w:sz w:val="20"/>
                <w:szCs w:val="20"/>
                <w:color w:val="auto"/>
              </w:rPr>
            </w:pPr>
            <w:r>
              <w:rPr>
                <w:rFonts w:ascii="Arial" w:cs="Arial" w:eastAsia="Arial" w:hAnsi="Arial"/>
                <w:sz w:val="22"/>
                <w:szCs w:val="22"/>
                <w:color w:val="auto"/>
              </w:rPr>
              <w:t>excellent in view of prevailing conditions</w:t>
            </w:r>
          </w:p>
        </w:tc>
        <w:tc>
          <w:tcPr>
            <w:tcW w:w="2260" w:type="dxa"/>
            <w:vAlign w:val="bottom"/>
          </w:tcPr>
          <w:p>
            <w:pPr>
              <w:spacing w:after="0"/>
              <w:rPr>
                <w:sz w:val="22"/>
                <w:szCs w:val="22"/>
                <w:color w:val="auto"/>
              </w:rPr>
            </w:pPr>
          </w:p>
        </w:tc>
      </w:tr>
      <w:tr>
        <w:trPr>
          <w:trHeight w:val="375"/>
        </w:trPr>
        <w:tc>
          <w:tcPr>
            <w:tcW w:w="220" w:type="dxa"/>
            <w:vAlign w:val="bottom"/>
          </w:tcPr>
          <w:p>
            <w:pPr>
              <w:jc w:val="right"/>
              <w:spacing w:after="0"/>
              <w:rPr>
                <w:sz w:val="20"/>
                <w:szCs w:val="20"/>
                <w:color w:val="auto"/>
              </w:rPr>
            </w:pPr>
            <w:r>
              <w:rPr>
                <w:rFonts w:ascii="Arial" w:cs="Arial" w:eastAsia="Arial" w:hAnsi="Arial"/>
                <w:sz w:val="22"/>
                <w:szCs w:val="22"/>
                <w:color w:val="auto"/>
                <w:w w:val="86"/>
              </w:rPr>
              <w:t>2.</w:t>
            </w:r>
          </w:p>
        </w:tc>
        <w:tc>
          <w:tcPr>
            <w:tcW w:w="8180" w:type="dxa"/>
            <w:vAlign w:val="bottom"/>
            <w:gridSpan w:val="3"/>
          </w:tcPr>
          <w:p>
            <w:pPr>
              <w:ind w:left="60"/>
              <w:spacing w:after="0"/>
              <w:rPr>
                <w:sz w:val="20"/>
                <w:szCs w:val="20"/>
                <w:color w:val="auto"/>
              </w:rPr>
            </w:pPr>
            <w:r>
              <w:rPr>
                <w:rFonts w:ascii="Arial" w:cs="Arial" w:eastAsia="Arial" w:hAnsi="Arial"/>
                <w:sz w:val="22"/>
                <w:szCs w:val="22"/>
                <w:color w:val="auto"/>
              </w:rPr>
              <w:t>Performance generally met the year’s objectives and</w:t>
            </w:r>
          </w:p>
        </w:tc>
        <w:tc>
          <w:tcPr>
            <w:tcW w:w="2260" w:type="dxa"/>
            <w:vAlign w:val="bottom"/>
          </w:tcPr>
          <w:p>
            <w:pPr>
              <w:spacing w:after="0"/>
              <w:rPr>
                <w:sz w:val="24"/>
                <w:szCs w:val="24"/>
                <w:color w:val="auto"/>
              </w:rPr>
            </w:pPr>
          </w:p>
        </w:tc>
      </w:tr>
      <w:tr>
        <w:trPr>
          <w:trHeight w:val="259"/>
        </w:trPr>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120" w:type="dxa"/>
            <w:vAlign w:val="bottom"/>
            <w:gridSpan w:val="2"/>
          </w:tcPr>
          <w:p>
            <w:pPr>
              <w:spacing w:after="0"/>
              <w:rPr>
                <w:sz w:val="20"/>
                <w:szCs w:val="20"/>
                <w:color w:val="auto"/>
              </w:rPr>
            </w:pPr>
            <w:r>
              <w:rPr>
                <w:rFonts w:ascii="Arial" w:cs="Arial" w:eastAsia="Arial" w:hAnsi="Arial"/>
                <w:sz w:val="22"/>
                <w:szCs w:val="22"/>
                <w:color w:val="auto"/>
              </w:rPr>
              <w:t>was very acceptable in view of prevailing conditions</w:t>
            </w:r>
          </w:p>
        </w:tc>
        <w:tc>
          <w:tcPr>
            <w:tcW w:w="2260" w:type="dxa"/>
            <w:vAlign w:val="bottom"/>
          </w:tcPr>
          <w:p>
            <w:pPr>
              <w:jc w:val="right"/>
              <w:ind w:right="352"/>
              <w:spacing w:after="0"/>
              <w:rPr>
                <w:sz w:val="20"/>
                <w:szCs w:val="20"/>
                <w:color w:val="auto"/>
              </w:rPr>
            </w:pPr>
            <w:r>
              <w:rPr>
                <w:rFonts w:ascii="Arial" w:cs="Arial" w:eastAsia="Arial" w:hAnsi="Arial"/>
                <w:sz w:val="22"/>
                <w:szCs w:val="22"/>
                <w:color w:val="auto"/>
              </w:rPr>
              <w:t>50% - 100%</w:t>
            </w:r>
          </w:p>
        </w:tc>
      </w:tr>
      <w:tr>
        <w:trPr>
          <w:trHeight w:val="392"/>
        </w:trPr>
        <w:tc>
          <w:tcPr>
            <w:tcW w:w="220" w:type="dxa"/>
            <w:vAlign w:val="bottom"/>
          </w:tcPr>
          <w:p>
            <w:pPr>
              <w:jc w:val="right"/>
              <w:spacing w:after="0"/>
              <w:rPr>
                <w:sz w:val="20"/>
                <w:szCs w:val="20"/>
                <w:color w:val="auto"/>
              </w:rPr>
            </w:pPr>
            <w:r>
              <w:rPr>
                <w:rFonts w:ascii="Arial" w:cs="Arial" w:eastAsia="Arial" w:hAnsi="Arial"/>
                <w:sz w:val="22"/>
                <w:szCs w:val="22"/>
                <w:color w:val="auto"/>
                <w:w w:val="86"/>
              </w:rPr>
              <w:t>3.</w:t>
            </w:r>
          </w:p>
        </w:tc>
        <w:tc>
          <w:tcPr>
            <w:tcW w:w="8180" w:type="dxa"/>
            <w:vAlign w:val="bottom"/>
            <w:gridSpan w:val="3"/>
          </w:tcPr>
          <w:p>
            <w:pPr>
              <w:ind w:left="60"/>
              <w:spacing w:after="0"/>
              <w:rPr>
                <w:sz w:val="20"/>
                <w:szCs w:val="20"/>
                <w:color w:val="auto"/>
              </w:rPr>
            </w:pPr>
            <w:r>
              <w:rPr>
                <w:rFonts w:ascii="Arial" w:cs="Arial" w:eastAsia="Arial" w:hAnsi="Arial"/>
                <w:sz w:val="22"/>
                <w:szCs w:val="22"/>
                <w:color w:val="auto"/>
              </w:rPr>
              <w:t>Performance for the year met some, but not all, objectives</w:t>
            </w:r>
          </w:p>
        </w:tc>
        <w:tc>
          <w:tcPr>
            <w:tcW w:w="2260" w:type="dxa"/>
            <w:vAlign w:val="bottom"/>
          </w:tcPr>
          <w:p>
            <w:pPr>
              <w:jc w:val="right"/>
              <w:ind w:right="412"/>
              <w:spacing w:after="0"/>
              <w:rPr>
                <w:sz w:val="20"/>
                <w:szCs w:val="20"/>
                <w:color w:val="auto"/>
              </w:rPr>
            </w:pPr>
            <w:r>
              <w:rPr>
                <w:rFonts w:ascii="Arial" w:cs="Arial" w:eastAsia="Arial" w:hAnsi="Arial"/>
                <w:sz w:val="22"/>
                <w:szCs w:val="22"/>
                <w:color w:val="auto"/>
              </w:rPr>
              <w:t>0% - 50%</w:t>
            </w:r>
          </w:p>
        </w:tc>
      </w:tr>
      <w:tr>
        <w:trPr>
          <w:trHeight w:val="375"/>
        </w:trPr>
        <w:tc>
          <w:tcPr>
            <w:tcW w:w="220" w:type="dxa"/>
            <w:vAlign w:val="bottom"/>
          </w:tcPr>
          <w:p>
            <w:pPr>
              <w:jc w:val="right"/>
              <w:spacing w:after="0"/>
              <w:rPr>
                <w:sz w:val="20"/>
                <w:szCs w:val="20"/>
                <w:color w:val="auto"/>
              </w:rPr>
            </w:pPr>
            <w:r>
              <w:rPr>
                <w:rFonts w:ascii="Arial" w:cs="Arial" w:eastAsia="Arial" w:hAnsi="Arial"/>
                <w:sz w:val="22"/>
                <w:szCs w:val="22"/>
                <w:color w:val="auto"/>
                <w:w w:val="86"/>
              </w:rPr>
              <w:t>4.</w:t>
            </w:r>
          </w:p>
        </w:tc>
        <w:tc>
          <w:tcPr>
            <w:tcW w:w="8180" w:type="dxa"/>
            <w:vAlign w:val="bottom"/>
            <w:gridSpan w:val="3"/>
          </w:tcPr>
          <w:p>
            <w:pPr>
              <w:ind w:left="60"/>
              <w:spacing w:after="0"/>
              <w:rPr>
                <w:sz w:val="20"/>
                <w:szCs w:val="20"/>
                <w:color w:val="auto"/>
              </w:rPr>
            </w:pPr>
            <w:r>
              <w:rPr>
                <w:rFonts w:ascii="Arial" w:cs="Arial" w:eastAsia="Arial" w:hAnsi="Arial"/>
                <w:sz w:val="22"/>
                <w:szCs w:val="22"/>
                <w:color w:val="auto"/>
              </w:rPr>
              <w:t>Performance for the year was not acceptable in view of</w:t>
            </w:r>
          </w:p>
        </w:tc>
        <w:tc>
          <w:tcPr>
            <w:tcW w:w="2260" w:type="dxa"/>
            <w:vAlign w:val="bottom"/>
          </w:tcPr>
          <w:p>
            <w:pPr>
              <w:jc w:val="right"/>
              <w:ind w:right="732"/>
              <w:spacing w:after="0"/>
              <w:rPr>
                <w:sz w:val="20"/>
                <w:szCs w:val="20"/>
                <w:color w:val="auto"/>
              </w:rPr>
            </w:pPr>
            <w:r>
              <w:rPr>
                <w:rFonts w:ascii="Arial" w:cs="Arial" w:eastAsia="Arial" w:hAnsi="Arial"/>
                <w:sz w:val="22"/>
                <w:szCs w:val="22"/>
                <w:color w:val="auto"/>
              </w:rPr>
              <w:t>0%</w:t>
            </w:r>
          </w:p>
        </w:tc>
      </w:tr>
      <w:tr>
        <w:trPr>
          <w:trHeight w:val="259"/>
        </w:trPr>
        <w:tc>
          <w:tcPr>
            <w:tcW w:w="220" w:type="dxa"/>
            <w:vAlign w:val="bottom"/>
          </w:tcPr>
          <w:p>
            <w:pPr>
              <w:spacing w:after="0"/>
              <w:rPr>
                <w:sz w:val="22"/>
                <w:szCs w:val="22"/>
                <w:color w:val="auto"/>
              </w:rPr>
            </w:pPr>
          </w:p>
        </w:tc>
        <w:tc>
          <w:tcPr>
            <w:tcW w:w="8180" w:type="dxa"/>
            <w:vAlign w:val="bottom"/>
            <w:gridSpan w:val="3"/>
          </w:tcPr>
          <w:p>
            <w:pPr>
              <w:ind w:left="60"/>
              <w:spacing w:after="0"/>
              <w:rPr>
                <w:sz w:val="20"/>
                <w:szCs w:val="20"/>
                <w:color w:val="auto"/>
              </w:rPr>
            </w:pPr>
            <w:r>
              <w:rPr>
                <w:rFonts w:ascii="Arial" w:cs="Arial" w:eastAsia="Arial" w:hAnsi="Arial"/>
                <w:sz w:val="22"/>
                <w:szCs w:val="22"/>
                <w:color w:val="auto"/>
              </w:rPr>
              <w:t>prevailing conditions</w:t>
            </w:r>
          </w:p>
        </w:tc>
        <w:tc>
          <w:tcPr>
            <w:tcW w:w="2260" w:type="dxa"/>
            <w:vAlign w:val="bottom"/>
          </w:tcPr>
          <w:p>
            <w:pPr>
              <w:spacing w:after="0"/>
              <w:rPr>
                <w:sz w:val="22"/>
                <w:szCs w:val="22"/>
                <w:color w:val="auto"/>
              </w:rPr>
            </w:pPr>
          </w:p>
        </w:tc>
      </w:tr>
    </w:tbl>
    <w:p>
      <w:pPr>
        <w:spacing w:after="0" w:line="227" w:lineRule="exact"/>
        <w:rPr>
          <w:sz w:val="20"/>
          <w:szCs w:val="20"/>
          <w:color w:val="auto"/>
        </w:rPr>
      </w:pPr>
    </w:p>
    <w:p>
      <w:pPr>
        <w:ind w:right="420"/>
        <w:spacing w:after="0" w:line="233" w:lineRule="auto"/>
        <w:rPr>
          <w:sz w:val="20"/>
          <w:szCs w:val="20"/>
          <w:color w:val="auto"/>
        </w:rPr>
      </w:pPr>
      <w:r>
        <w:rPr>
          <w:rFonts w:ascii="Arial" w:cs="Arial" w:eastAsia="Arial" w:hAnsi="Arial"/>
          <w:sz w:val="22"/>
          <w:szCs w:val="22"/>
          <w:color w:val="auto"/>
        </w:rPr>
        <w:t>For members of the Executive Leadership team for whom no individual performance component is applicable, the CEO will determine an individual multiplier between 80% and 120% for approval by the Compensation Committee based on the employee's individual performance for the Plan year relative to his or her individual objectives established at the beginning of the Plan year (the "ELT Individual Multiplier"), which ELT Individual Multiplier, if approved, will be multiplied by the final corporate award multiplier for the Plan year to determine such employee's final bonus award payout. No ELT Individual Multiplier will apply to the CEO.</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480" w:type="dxa"/>
            <w:vAlign w:val="bottom"/>
          </w:tcPr>
          <w:p>
            <w:pPr>
              <w:spacing w:after="0"/>
              <w:rPr>
                <w:sz w:val="20"/>
                <w:szCs w:val="20"/>
                <w:color w:val="auto"/>
              </w:rPr>
            </w:pPr>
            <w:r>
              <w:rPr>
                <w:rFonts w:ascii="Arial" w:cs="Arial" w:eastAsia="Arial" w:hAnsi="Arial"/>
                <w:sz w:val="14"/>
                <w:szCs w:val="14"/>
                <w:color w:val="auto"/>
              </w:rPr>
              <w:t>US-DOCS\113699376.3</w:t>
            </w:r>
          </w:p>
        </w:tc>
        <w:tc>
          <w:tcPr>
            <w:tcW w:w="7780" w:type="dxa"/>
            <w:vAlign w:val="bottom"/>
          </w:tcPr>
          <w:p>
            <w:pPr>
              <w:jc w:val="right"/>
              <w:ind w:right="5492"/>
              <w:spacing w:after="0"/>
              <w:rPr>
                <w:sz w:val="20"/>
                <w:szCs w:val="20"/>
                <w:color w:val="auto"/>
              </w:rPr>
            </w:pPr>
            <w:r>
              <w:rPr>
                <w:rFonts w:ascii="Arial" w:cs="Arial" w:eastAsia="Arial" w:hAnsi="Arial"/>
                <w:sz w:val="22"/>
                <w:szCs w:val="22"/>
                <w:color w:val="auto"/>
              </w:rPr>
              <w:t>3</w:t>
            </w:r>
          </w:p>
        </w:tc>
      </w:tr>
      <w:tr>
        <w:trPr>
          <w:trHeight w:val="437"/>
        </w:trPr>
        <w:tc>
          <w:tcPr>
            <w:tcW w:w="348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38" w:name="page39"/>
    <w:bookmarkEnd w:id="38"/>
    <w:p>
      <w:pPr>
        <w:ind w:left="9640"/>
        <w:spacing w:after="0"/>
        <w:rPr>
          <w:sz w:val="20"/>
          <w:szCs w:val="20"/>
          <w:color w:val="auto"/>
        </w:rPr>
      </w:pPr>
      <w:r>
        <w:rPr>
          <w:rFonts w:ascii="Arial" w:cs="Arial" w:eastAsia="Arial" w:hAnsi="Arial"/>
          <w:sz w:val="21"/>
          <w:szCs w:val="21"/>
          <w:b w:val="1"/>
          <w:bCs w:val="1"/>
          <w:color w:val="auto"/>
        </w:rPr>
        <w:t>CONFIDENTIAL</w:t>
      </w:r>
    </w:p>
    <w:p>
      <w:pPr>
        <w:spacing w:after="0" w:line="272" w:lineRule="exact"/>
        <w:rPr>
          <w:sz w:val="20"/>
          <w:szCs w:val="20"/>
          <w:color w:val="auto"/>
        </w:rPr>
      </w:pPr>
    </w:p>
    <w:p>
      <w:pPr>
        <w:ind w:right="520"/>
        <w:spacing w:after="0" w:line="238" w:lineRule="auto"/>
        <w:rPr>
          <w:sz w:val="20"/>
          <w:szCs w:val="20"/>
          <w:color w:val="auto"/>
        </w:rPr>
      </w:pPr>
      <w:r>
        <w:rPr>
          <w:rFonts w:ascii="Arial" w:cs="Arial" w:eastAsia="Arial" w:hAnsi="Arial"/>
          <w:sz w:val="22"/>
          <w:szCs w:val="22"/>
          <w:color w:val="auto"/>
        </w:rPr>
        <w:t>Unless otherwise determined by the Compensation Committee, in no event will an employee's final bonus award payout exceed 150% of his or her target annual bonus for the applicable Plan year.</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Example for Employee (Other than Executive Leadership Team)</w:t>
      </w:r>
    </w:p>
    <w:p>
      <w:pPr>
        <w:spacing w:after="0" w:line="178"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example below shows a sample cash bonus award calculation under the Plan for a non-executive employee, which is determined after the end of the Plan year.</w:t>
      </w:r>
    </w:p>
    <w:p>
      <w:pPr>
        <w:spacing w:after="0" w:line="124" w:lineRule="exact"/>
        <w:rPr>
          <w:sz w:val="20"/>
          <w:szCs w:val="20"/>
          <w:color w:val="auto"/>
        </w:rPr>
      </w:pPr>
    </w:p>
    <w:p>
      <w:pPr>
        <w:ind w:right="320"/>
        <w:spacing w:after="0" w:line="257" w:lineRule="auto"/>
        <w:rPr>
          <w:sz w:val="20"/>
          <w:szCs w:val="20"/>
          <w:color w:val="auto"/>
        </w:rPr>
      </w:pPr>
      <w:r>
        <w:rPr>
          <w:rFonts w:ascii="Arial" w:cs="Arial" w:eastAsia="Arial" w:hAnsi="Arial"/>
          <w:sz w:val="22"/>
          <w:szCs w:val="22"/>
          <w:i w:val="1"/>
          <w:iCs w:val="1"/>
          <w:color w:val="auto"/>
        </w:rPr>
        <w:t xml:space="preserve">Step #1: </w:t>
      </w:r>
      <w:r>
        <w:rPr>
          <w:rFonts w:ascii="Arial" w:cs="Arial" w:eastAsia="Arial" w:hAnsi="Arial"/>
          <w:sz w:val="22"/>
          <w:szCs w:val="22"/>
          <w:color w:val="auto"/>
        </w:rPr>
        <w:t>A potential target bonus award is calculated by multiplying the employee’s base salary by the participant's</w:t>
      </w:r>
      <w:r>
        <w:rPr>
          <w:rFonts w:ascii="Arial" w:cs="Arial" w:eastAsia="Arial" w:hAnsi="Arial"/>
          <w:sz w:val="22"/>
          <w:szCs w:val="22"/>
          <w:i w:val="1"/>
          <w:iCs w:val="1"/>
          <w:color w:val="auto"/>
        </w:rPr>
        <w:t xml:space="preserve"> </w:t>
      </w:r>
      <w:r>
        <w:rPr>
          <w:rFonts w:ascii="Arial" w:cs="Arial" w:eastAsia="Arial" w:hAnsi="Arial"/>
          <w:sz w:val="22"/>
          <w:szCs w:val="22"/>
          <w:color w:val="auto"/>
        </w:rPr>
        <w:t>assigned target bonus percentage.</w:t>
      </w:r>
    </w:p>
    <w:p>
      <w:pPr>
        <w:spacing w:after="0" w:line="52" w:lineRule="exact"/>
        <w:rPr>
          <w:sz w:val="20"/>
          <w:szCs w:val="20"/>
          <w:color w:val="auto"/>
        </w:rPr>
      </w:pPr>
    </w:p>
    <w:p>
      <w:pPr>
        <w:ind w:right="60"/>
        <w:spacing w:after="0" w:line="261" w:lineRule="auto"/>
        <w:rPr>
          <w:sz w:val="20"/>
          <w:szCs w:val="20"/>
          <w:color w:val="auto"/>
        </w:rPr>
      </w:pPr>
      <w:r>
        <w:rPr>
          <w:rFonts w:ascii="Arial" w:cs="Arial" w:eastAsia="Arial" w:hAnsi="Arial"/>
          <w:sz w:val="21"/>
          <w:szCs w:val="21"/>
          <w:i w:val="1"/>
          <w:iCs w:val="1"/>
          <w:color w:val="auto"/>
        </w:rPr>
        <w:t>Step #2</w:t>
      </w:r>
      <w:r>
        <w:rPr>
          <w:rFonts w:ascii="Arial" w:cs="Arial" w:eastAsia="Arial" w:hAnsi="Arial"/>
          <w:sz w:val="21"/>
          <w:szCs w:val="21"/>
          <w:color w:val="auto"/>
        </w:rPr>
        <w:t>: The calculated potential target bonus award is then split between the corporate and individual performance</w:t>
      </w:r>
      <w:r>
        <w:rPr>
          <w:rFonts w:ascii="Arial" w:cs="Arial" w:eastAsia="Arial" w:hAnsi="Arial"/>
          <w:sz w:val="21"/>
          <w:szCs w:val="21"/>
          <w:i w:val="1"/>
          <w:iCs w:val="1"/>
          <w:color w:val="auto"/>
        </w:rPr>
        <w:t xml:space="preserve"> </w:t>
      </w:r>
      <w:r>
        <w:rPr>
          <w:rFonts w:ascii="Arial" w:cs="Arial" w:eastAsia="Arial" w:hAnsi="Arial"/>
          <w:sz w:val="21"/>
          <w:szCs w:val="21"/>
          <w:color w:val="auto"/>
        </w:rPr>
        <w:t>factors by the employee’s assigned level (per the weighting above). This calculation establishes specific potential dollar awards for the performance period based on both the individual and corporate performance factor components.</w:t>
      </w:r>
    </w:p>
    <w:p>
      <w:pPr>
        <w:spacing w:after="0" w:line="103"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i w:val="1"/>
          <w:iCs w:val="1"/>
          <w:color w:val="auto"/>
        </w:rPr>
        <w:t xml:space="preserve">Step #3: </w:t>
      </w:r>
      <w:r>
        <w:rPr>
          <w:rFonts w:ascii="Arial" w:cs="Arial" w:eastAsia="Arial" w:hAnsi="Arial"/>
          <w:sz w:val="22"/>
          <w:szCs w:val="22"/>
          <w:color w:val="auto"/>
        </w:rPr>
        <w:t>After the end of the Plan year, corporate and individual award multipliers will be established using the criteria</w:t>
      </w:r>
      <w:r>
        <w:rPr>
          <w:rFonts w:ascii="Arial" w:cs="Arial" w:eastAsia="Arial" w:hAnsi="Arial"/>
          <w:sz w:val="22"/>
          <w:szCs w:val="22"/>
          <w:i w:val="1"/>
          <w:iCs w:val="1"/>
          <w:color w:val="auto"/>
        </w:rPr>
        <w:t xml:space="preserve"> </w:t>
      </w:r>
      <w:r>
        <w:rPr>
          <w:rFonts w:ascii="Arial" w:cs="Arial" w:eastAsia="Arial" w:hAnsi="Arial"/>
          <w:sz w:val="22"/>
          <w:szCs w:val="22"/>
          <w:color w:val="auto"/>
        </w:rPr>
        <w:t>described above. Awards are determined by multiplying the potential target bonus awards in Step #2 by the actual corporate and individual award multipliers.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20"/>
                <w:szCs w:val="20"/>
                <w:color w:val="auto"/>
              </w:rPr>
            </w:pPr>
            <w:r>
              <w:rPr>
                <w:rFonts w:ascii="Arial" w:cs="Arial" w:eastAsia="Arial" w:hAnsi="Arial"/>
                <w:sz w:val="18"/>
                <w:szCs w:val="18"/>
                <w:i w:val="1"/>
                <w:iCs w:val="1"/>
                <w:color w:val="auto"/>
              </w:rPr>
              <w:t>Example:</w:t>
            </w: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Step #1: Determine Target Bonus Award</w:t>
            </w:r>
          </w:p>
        </w:tc>
        <w:tc>
          <w:tcPr>
            <w:tcW w:w="5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507"/>
        </w:trPr>
        <w:tc>
          <w:tcPr>
            <w:tcW w:w="180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Position:</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40" w:type="dxa"/>
            <w:vAlign w:val="bottom"/>
            <w:gridSpan w:val="2"/>
          </w:tcPr>
          <w:p>
            <w:pPr>
              <w:jc w:val="center"/>
              <w:ind w:left="1190"/>
              <w:spacing w:after="0"/>
              <w:rPr>
                <w:sz w:val="20"/>
                <w:szCs w:val="20"/>
                <w:color w:val="auto"/>
              </w:rPr>
            </w:pPr>
            <w:r>
              <w:rPr>
                <w:rFonts w:ascii="Arial" w:cs="Arial" w:eastAsia="Arial" w:hAnsi="Arial"/>
                <w:sz w:val="18"/>
                <w:szCs w:val="18"/>
                <w:color w:val="auto"/>
                <w:w w:val="99"/>
              </w:rPr>
              <w:t>Associate Director</w:t>
            </w:r>
          </w:p>
        </w:tc>
      </w:tr>
      <w:tr>
        <w:trPr>
          <w:trHeight w:val="243"/>
        </w:trPr>
        <w:tc>
          <w:tcPr>
            <w:tcW w:w="1800" w:type="dxa"/>
            <w:vAlign w:val="bottom"/>
          </w:tcPr>
          <w:p>
            <w:pPr>
              <w:spacing w:after="0"/>
              <w:rPr>
                <w:sz w:val="21"/>
                <w:szCs w:val="21"/>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Base salary:</w:t>
            </w: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0" w:type="dxa"/>
            <w:vAlign w:val="bottom"/>
            <w:gridSpan w:val="3"/>
          </w:tcPr>
          <w:p>
            <w:pPr>
              <w:jc w:val="right"/>
              <w:spacing w:after="0"/>
              <w:rPr>
                <w:sz w:val="20"/>
                <w:szCs w:val="20"/>
                <w:color w:val="auto"/>
              </w:rPr>
            </w:pPr>
            <w:r>
              <w:rPr>
                <w:rFonts w:ascii="Arial" w:cs="Arial" w:eastAsia="Arial" w:hAnsi="Arial"/>
                <w:sz w:val="18"/>
                <w:szCs w:val="18"/>
                <w:color w:val="auto"/>
              </w:rPr>
              <w:t>$ 100,000</w:t>
            </w:r>
          </w:p>
        </w:tc>
      </w:tr>
      <w:tr>
        <w:trPr>
          <w:trHeight w:val="243"/>
        </w:trPr>
        <w:tc>
          <w:tcPr>
            <w:tcW w:w="1800" w:type="dxa"/>
            <w:vAlign w:val="bottom"/>
          </w:tcPr>
          <w:p>
            <w:pPr>
              <w:spacing w:after="0"/>
              <w:rPr>
                <w:sz w:val="21"/>
                <w:szCs w:val="21"/>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Target bonus percentage:</w:t>
            </w: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1800" w:type="dxa"/>
            <w:vAlign w:val="bottom"/>
          </w:tcPr>
          <w:p>
            <w:pPr>
              <w:spacing w:after="0"/>
              <w:rPr>
                <w:sz w:val="21"/>
                <w:szCs w:val="21"/>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Potential target bonus:</w:t>
            </w: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445"/>
        </w:trPr>
        <w:tc>
          <w:tcPr>
            <w:tcW w:w="1800" w:type="dxa"/>
            <w:vAlign w:val="bottom"/>
          </w:tcPr>
          <w:p>
            <w:pPr>
              <w:spacing w:after="0"/>
              <w:rPr>
                <w:sz w:val="24"/>
                <w:szCs w:val="24"/>
                <w:color w:val="auto"/>
              </w:rPr>
            </w:pPr>
          </w:p>
        </w:tc>
        <w:tc>
          <w:tcPr>
            <w:tcW w:w="6140" w:type="dxa"/>
            <w:vAlign w:val="bottom"/>
            <w:tcBorders>
              <w:bottom w:val="single" w:sz="8" w:color="auto"/>
            </w:tcBorders>
            <w:gridSpan w:val="6"/>
          </w:tcPr>
          <w:p>
            <w:pPr>
              <w:spacing w:after="0"/>
              <w:rPr>
                <w:sz w:val="20"/>
                <w:szCs w:val="20"/>
                <w:color w:val="auto"/>
              </w:rPr>
            </w:pPr>
            <w:r>
              <w:rPr>
                <w:rFonts w:ascii="Arial" w:cs="Arial" w:eastAsia="Arial" w:hAnsi="Arial"/>
                <w:sz w:val="18"/>
                <w:szCs w:val="18"/>
                <w:i w:val="1"/>
                <w:iCs w:val="1"/>
                <w:color w:val="auto"/>
                <w:w w:val="99"/>
              </w:rPr>
              <w:t xml:space="preserve">Step #2: </w:t>
            </w:r>
            <w:r>
              <w:rPr>
                <w:rFonts w:ascii="Arial" w:cs="Arial" w:eastAsia="Arial" w:hAnsi="Arial"/>
                <w:sz w:val="18"/>
                <w:szCs w:val="18"/>
                <w:color w:val="auto"/>
                <w:w w:val="99"/>
              </w:rPr>
              <w:t>Split Target Bonus Award Based on Corporate/Individual Weightings</w:t>
            </w: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7"/>
        </w:trPr>
        <w:tc>
          <w:tcPr>
            <w:tcW w:w="180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Potential corporate performance bonus (70%):</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0" w:type="dxa"/>
            <w:vAlign w:val="bottom"/>
            <w:gridSpan w:val="3"/>
          </w:tcPr>
          <w:p>
            <w:pPr>
              <w:jc w:val="right"/>
              <w:spacing w:after="0"/>
              <w:rPr>
                <w:sz w:val="20"/>
                <w:szCs w:val="20"/>
                <w:color w:val="auto"/>
              </w:rPr>
            </w:pPr>
            <w:r>
              <w:rPr>
                <w:rFonts w:ascii="Arial" w:cs="Arial" w:eastAsia="Arial" w:hAnsi="Arial"/>
                <w:sz w:val="18"/>
                <w:szCs w:val="18"/>
                <w:color w:val="auto"/>
              </w:rPr>
              <w:t>$ 14,000</w:t>
            </w:r>
          </w:p>
        </w:tc>
      </w:tr>
      <w:tr>
        <w:trPr>
          <w:trHeight w:val="243"/>
        </w:trPr>
        <w:tc>
          <w:tcPr>
            <w:tcW w:w="1800" w:type="dxa"/>
            <w:vAlign w:val="bottom"/>
          </w:tcPr>
          <w:p>
            <w:pPr>
              <w:spacing w:after="0"/>
              <w:rPr>
                <w:sz w:val="21"/>
                <w:szCs w:val="21"/>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Potential individual performance bonus (30%):</w:t>
            </w: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445"/>
        </w:trPr>
        <w:tc>
          <w:tcPr>
            <w:tcW w:w="180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Step # 3: </w:t>
            </w:r>
            <w:r>
              <w:rPr>
                <w:rFonts w:ascii="Arial" w:cs="Arial" w:eastAsia="Arial" w:hAnsi="Arial"/>
                <w:sz w:val="18"/>
                <w:szCs w:val="18"/>
                <w:color w:val="auto"/>
              </w:rPr>
              <w:t>Actual Bonus Award Calculation</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1800" w:type="dxa"/>
            <w:vAlign w:val="bottom"/>
          </w:tcPr>
          <w:p>
            <w:pPr>
              <w:spacing w:after="0" w:line="20" w:lineRule="exact"/>
              <w:rPr>
                <w:sz w:val="1"/>
                <w:szCs w:val="1"/>
                <w:color w:val="auto"/>
              </w:rPr>
            </w:pPr>
          </w:p>
        </w:tc>
        <w:tc>
          <w:tcPr>
            <w:tcW w:w="3320" w:type="dxa"/>
            <w:vAlign w:val="bottom"/>
            <w:gridSpan w:val="2"/>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07"/>
        </w:trPr>
        <w:tc>
          <w:tcPr>
            <w:tcW w:w="1800" w:type="dxa"/>
            <w:vAlign w:val="bottom"/>
          </w:tcPr>
          <w:p>
            <w:pPr>
              <w:spacing w:after="0"/>
              <w:rPr>
                <w:sz w:val="24"/>
                <w:szCs w:val="24"/>
                <w:color w:val="auto"/>
              </w:rPr>
            </w:pPr>
          </w:p>
        </w:tc>
        <w:tc>
          <w:tcPr>
            <w:tcW w:w="8300" w:type="dxa"/>
            <w:vAlign w:val="bottom"/>
            <w:gridSpan w:val="7"/>
          </w:tcPr>
          <w:p>
            <w:pPr>
              <w:spacing w:after="0"/>
              <w:rPr>
                <w:sz w:val="20"/>
                <w:szCs w:val="20"/>
                <w:color w:val="auto"/>
              </w:rPr>
            </w:pPr>
            <w:r>
              <w:rPr>
                <w:rFonts w:ascii="Arial" w:cs="Arial" w:eastAsia="Arial" w:hAnsi="Arial"/>
                <w:sz w:val="18"/>
                <w:szCs w:val="18"/>
                <w:color w:val="auto"/>
              </w:rPr>
              <w:t>Assumed payment multipliers based on assessment of corporate and individual performance:</w:t>
            </w:r>
          </w:p>
        </w:tc>
        <w:tc>
          <w:tcPr>
            <w:tcW w:w="580" w:type="dxa"/>
            <w:vAlign w:val="bottom"/>
          </w:tcPr>
          <w:p>
            <w:pPr>
              <w:spacing w:after="0"/>
              <w:rPr>
                <w:sz w:val="24"/>
                <w:szCs w:val="24"/>
                <w:color w:val="auto"/>
              </w:rPr>
            </w:pPr>
          </w:p>
        </w:tc>
      </w:tr>
      <w:tr>
        <w:trPr>
          <w:trHeight w:val="486"/>
        </w:trPr>
        <w:tc>
          <w:tcPr>
            <w:tcW w:w="180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Corporate multiplier</w:t>
            </w:r>
          </w:p>
        </w:tc>
        <w:tc>
          <w:tcPr>
            <w:tcW w:w="4540" w:type="dxa"/>
            <w:vAlign w:val="bottom"/>
            <w:gridSpan w:val="4"/>
          </w:tcPr>
          <w:p>
            <w:pPr>
              <w:jc w:val="right"/>
              <w:ind w:right="870"/>
              <w:spacing w:after="0"/>
              <w:rPr>
                <w:sz w:val="20"/>
                <w:szCs w:val="20"/>
                <w:color w:val="auto"/>
              </w:rPr>
            </w:pPr>
            <w:r>
              <w:rPr>
                <w:rFonts w:ascii="Arial" w:cs="Arial" w:eastAsia="Arial" w:hAnsi="Arial"/>
                <w:sz w:val="18"/>
                <w:szCs w:val="18"/>
                <w:color w:val="auto"/>
              </w:rPr>
              <w:t>75%-performance generally met objectives</w:t>
            </w:r>
          </w:p>
        </w:tc>
        <w:tc>
          <w:tcPr>
            <w:tcW w:w="580" w:type="dxa"/>
            <w:vAlign w:val="bottom"/>
          </w:tcPr>
          <w:p>
            <w:pPr>
              <w:spacing w:after="0"/>
              <w:rPr>
                <w:sz w:val="24"/>
                <w:szCs w:val="24"/>
                <w:color w:val="auto"/>
              </w:rPr>
            </w:pPr>
          </w:p>
        </w:tc>
      </w:tr>
      <w:tr>
        <w:trPr>
          <w:trHeight w:val="243"/>
        </w:trPr>
        <w:tc>
          <w:tcPr>
            <w:tcW w:w="1800" w:type="dxa"/>
            <w:vAlign w:val="bottom"/>
          </w:tcPr>
          <w:p>
            <w:pPr>
              <w:spacing w:after="0"/>
              <w:rPr>
                <w:sz w:val="21"/>
                <w:szCs w:val="21"/>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Individual multiplier</w:t>
            </w:r>
          </w:p>
        </w:tc>
        <w:tc>
          <w:tcPr>
            <w:tcW w:w="4540" w:type="dxa"/>
            <w:vAlign w:val="bottom"/>
            <w:gridSpan w:val="4"/>
          </w:tcPr>
          <w:p>
            <w:pPr>
              <w:jc w:val="right"/>
              <w:ind w:right="1170"/>
              <w:spacing w:after="0"/>
              <w:rPr>
                <w:sz w:val="20"/>
                <w:szCs w:val="20"/>
                <w:color w:val="auto"/>
              </w:rPr>
            </w:pPr>
            <w:r>
              <w:rPr>
                <w:rFonts w:ascii="Arial" w:cs="Arial" w:eastAsia="Arial" w:hAnsi="Arial"/>
                <w:sz w:val="18"/>
                <w:szCs w:val="18"/>
                <w:color w:val="auto"/>
              </w:rPr>
              <w:t>125%-performance exceeded objectives</w:t>
            </w:r>
          </w:p>
        </w:tc>
        <w:tc>
          <w:tcPr>
            <w:tcW w:w="580" w:type="dxa"/>
            <w:vAlign w:val="bottom"/>
          </w:tcPr>
          <w:p>
            <w:pPr>
              <w:spacing w:after="0"/>
              <w:rPr>
                <w:sz w:val="21"/>
                <w:szCs w:val="21"/>
                <w:color w:val="auto"/>
              </w:rPr>
            </w:pPr>
          </w:p>
        </w:tc>
      </w:tr>
      <w:tr>
        <w:trPr>
          <w:trHeight w:val="486"/>
        </w:trPr>
        <w:tc>
          <w:tcPr>
            <w:tcW w:w="180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Cash Award:</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3"/>
        </w:trPr>
        <w:tc>
          <w:tcPr>
            <w:tcW w:w="1800" w:type="dxa"/>
            <w:vAlign w:val="bottom"/>
          </w:tcPr>
          <w:p>
            <w:pPr>
              <w:spacing w:after="0"/>
              <w:rPr>
                <w:sz w:val="21"/>
                <w:szCs w:val="21"/>
                <w:color w:val="auto"/>
              </w:rPr>
            </w:pPr>
          </w:p>
        </w:tc>
        <w:tc>
          <w:tcPr>
            <w:tcW w:w="3760" w:type="dxa"/>
            <w:vAlign w:val="bottom"/>
            <w:gridSpan w:val="3"/>
          </w:tcPr>
          <w:p>
            <w:pPr>
              <w:ind w:left="920"/>
              <w:spacing w:after="0"/>
              <w:rPr>
                <w:sz w:val="20"/>
                <w:szCs w:val="20"/>
                <w:color w:val="auto"/>
              </w:rPr>
            </w:pPr>
            <w:r>
              <w:rPr>
                <w:rFonts w:ascii="Arial" w:cs="Arial" w:eastAsia="Arial" w:hAnsi="Arial"/>
                <w:sz w:val="18"/>
                <w:szCs w:val="18"/>
                <w:color w:val="auto"/>
              </w:rPr>
              <w:t>Corporate component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$ 10,500</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($ 14,000 x 75%)</w:t>
            </w:r>
          </w:p>
        </w:tc>
        <w:tc>
          <w:tcPr>
            <w:tcW w:w="580" w:type="dxa"/>
            <w:vAlign w:val="bottom"/>
          </w:tcPr>
          <w:p>
            <w:pPr>
              <w:spacing w:after="0"/>
              <w:rPr>
                <w:sz w:val="21"/>
                <w:szCs w:val="21"/>
                <w:color w:val="auto"/>
              </w:rPr>
            </w:pPr>
          </w:p>
        </w:tc>
      </w:tr>
      <w:tr>
        <w:trPr>
          <w:trHeight w:val="202"/>
        </w:trPr>
        <w:tc>
          <w:tcPr>
            <w:tcW w:w="1800" w:type="dxa"/>
            <w:vAlign w:val="bottom"/>
          </w:tcPr>
          <w:p>
            <w:pPr>
              <w:spacing w:after="0"/>
              <w:rPr>
                <w:sz w:val="17"/>
                <w:szCs w:val="17"/>
                <w:color w:val="auto"/>
              </w:rPr>
            </w:pPr>
          </w:p>
        </w:tc>
        <w:tc>
          <w:tcPr>
            <w:tcW w:w="3760" w:type="dxa"/>
            <w:vAlign w:val="bottom"/>
            <w:gridSpan w:val="3"/>
          </w:tcPr>
          <w:p>
            <w:pPr>
              <w:ind w:left="920"/>
              <w:spacing w:after="0" w:line="202" w:lineRule="exact"/>
              <w:rPr>
                <w:sz w:val="20"/>
                <w:szCs w:val="20"/>
                <w:color w:val="auto"/>
              </w:rPr>
            </w:pPr>
            <w:r>
              <w:rPr>
                <w:rFonts w:ascii="Arial" w:cs="Arial" w:eastAsia="Arial" w:hAnsi="Arial"/>
                <w:sz w:val="18"/>
                <w:szCs w:val="18"/>
                <w:color w:val="auto"/>
              </w:rPr>
              <w:t>Individual component</w:t>
            </w:r>
          </w:p>
        </w:tc>
        <w:tc>
          <w:tcPr>
            <w:tcW w:w="72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7,500</w:t>
            </w:r>
          </w:p>
        </w:tc>
        <w:tc>
          <w:tcPr>
            <w:tcW w:w="3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  6,000 x 125%)</w:t>
            </w:r>
          </w:p>
        </w:tc>
        <w:tc>
          <w:tcPr>
            <w:tcW w:w="580" w:type="dxa"/>
            <w:vAlign w:val="bottom"/>
          </w:tcPr>
          <w:p>
            <w:pPr>
              <w:spacing w:after="0"/>
              <w:rPr>
                <w:sz w:val="17"/>
                <w:szCs w:val="17"/>
                <w:color w:val="auto"/>
              </w:rPr>
            </w:pPr>
          </w:p>
        </w:tc>
      </w:tr>
      <w:tr>
        <w:trPr>
          <w:trHeight w:val="264"/>
        </w:trPr>
        <w:tc>
          <w:tcPr>
            <w:tcW w:w="1800" w:type="dxa"/>
            <w:vAlign w:val="bottom"/>
          </w:tcPr>
          <w:p>
            <w:pPr>
              <w:spacing w:after="0"/>
              <w:rPr>
                <w:sz w:val="22"/>
                <w:szCs w:val="22"/>
                <w:color w:val="auto"/>
              </w:rPr>
            </w:pPr>
          </w:p>
        </w:tc>
        <w:tc>
          <w:tcPr>
            <w:tcW w:w="3760" w:type="dxa"/>
            <w:vAlign w:val="bottom"/>
            <w:gridSpan w:val="3"/>
          </w:tcPr>
          <w:p>
            <w:pPr>
              <w:ind w:left="920"/>
              <w:spacing w:after="0"/>
              <w:rPr>
                <w:sz w:val="20"/>
                <w:szCs w:val="20"/>
                <w:color w:val="auto"/>
              </w:rPr>
            </w:pPr>
            <w:r>
              <w:rPr>
                <w:rFonts w:ascii="Arial" w:cs="Arial" w:eastAsia="Arial" w:hAnsi="Arial"/>
                <w:sz w:val="18"/>
                <w:szCs w:val="18"/>
                <w:b w:val="1"/>
                <w:bCs w:val="1"/>
                <w:color w:val="auto"/>
              </w:rPr>
              <w:t>Total Award</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$ 17,500</w:t>
            </w:r>
          </w:p>
        </w:tc>
        <w:tc>
          <w:tcPr>
            <w:tcW w:w="8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5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480" w:type="dxa"/>
            <w:vAlign w:val="bottom"/>
          </w:tcPr>
          <w:p>
            <w:pPr>
              <w:spacing w:after="0"/>
              <w:rPr>
                <w:sz w:val="20"/>
                <w:szCs w:val="20"/>
                <w:color w:val="auto"/>
              </w:rPr>
            </w:pPr>
            <w:r>
              <w:rPr>
                <w:rFonts w:ascii="Arial" w:cs="Arial" w:eastAsia="Arial" w:hAnsi="Arial"/>
                <w:sz w:val="14"/>
                <w:szCs w:val="14"/>
                <w:color w:val="auto"/>
              </w:rPr>
              <w:t>US-DOCS\113699376.3</w:t>
            </w:r>
          </w:p>
        </w:tc>
        <w:tc>
          <w:tcPr>
            <w:tcW w:w="7780" w:type="dxa"/>
            <w:vAlign w:val="bottom"/>
          </w:tcPr>
          <w:p>
            <w:pPr>
              <w:jc w:val="right"/>
              <w:ind w:right="5492"/>
              <w:spacing w:after="0"/>
              <w:rPr>
                <w:sz w:val="20"/>
                <w:szCs w:val="20"/>
                <w:color w:val="auto"/>
              </w:rPr>
            </w:pPr>
            <w:r>
              <w:rPr>
                <w:rFonts w:ascii="Arial" w:cs="Arial" w:eastAsia="Arial" w:hAnsi="Arial"/>
                <w:sz w:val="22"/>
                <w:szCs w:val="22"/>
                <w:color w:val="auto"/>
              </w:rPr>
              <w:t>4</w:t>
            </w:r>
          </w:p>
        </w:tc>
      </w:tr>
      <w:tr>
        <w:trPr>
          <w:trHeight w:val="438"/>
        </w:trPr>
        <w:tc>
          <w:tcPr>
            <w:tcW w:w="348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39" w:name="page40"/>
    <w:bookmarkEnd w:id="39"/>
    <w:p>
      <w:pPr>
        <w:jc w:val="right"/>
        <w:ind w:right="20"/>
        <w:spacing w:after="0"/>
        <w:rPr>
          <w:sz w:val="20"/>
          <w:szCs w:val="20"/>
          <w:color w:val="auto"/>
        </w:rPr>
      </w:pPr>
      <w:r>
        <w:rPr>
          <w:rFonts w:ascii="Arial" w:cs="Arial" w:eastAsia="Arial" w:hAnsi="Arial"/>
          <w:sz w:val="22"/>
          <w:szCs w:val="22"/>
          <w:b w:val="1"/>
          <w:bCs w:val="1"/>
          <w:color w:val="auto"/>
        </w:rPr>
        <w:t>CONFIDENTIAL</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Example for Executive Leadership Team</w:t>
      </w:r>
    </w:p>
    <w:p>
      <w:pPr>
        <w:spacing w:after="0" w:line="178" w:lineRule="exact"/>
        <w:rPr>
          <w:sz w:val="20"/>
          <w:szCs w:val="20"/>
          <w:color w:val="auto"/>
        </w:rPr>
      </w:pPr>
    </w:p>
    <w:p>
      <w:pPr>
        <w:ind w:right="480"/>
        <w:spacing w:after="0" w:line="238" w:lineRule="auto"/>
        <w:rPr>
          <w:sz w:val="20"/>
          <w:szCs w:val="20"/>
          <w:color w:val="auto"/>
        </w:rPr>
      </w:pPr>
      <w:r>
        <w:rPr>
          <w:rFonts w:ascii="Arial" w:cs="Arial" w:eastAsia="Arial" w:hAnsi="Arial"/>
          <w:sz w:val="22"/>
          <w:szCs w:val="22"/>
          <w:color w:val="auto"/>
        </w:rPr>
        <w:t>The example below shows a sample cash bonus award calculation under the Plan for a member of the Executive Leadership Team, which is determined after the end of the Plan year.</w:t>
      </w:r>
    </w:p>
    <w:p>
      <w:pPr>
        <w:spacing w:after="0" w:line="124" w:lineRule="exact"/>
        <w:rPr>
          <w:sz w:val="20"/>
          <w:szCs w:val="20"/>
          <w:color w:val="auto"/>
        </w:rPr>
      </w:pPr>
    </w:p>
    <w:p>
      <w:pPr>
        <w:ind w:right="320"/>
        <w:spacing w:after="0" w:line="257" w:lineRule="auto"/>
        <w:rPr>
          <w:sz w:val="20"/>
          <w:szCs w:val="20"/>
          <w:color w:val="auto"/>
        </w:rPr>
      </w:pPr>
      <w:r>
        <w:rPr>
          <w:rFonts w:ascii="Arial" w:cs="Arial" w:eastAsia="Arial" w:hAnsi="Arial"/>
          <w:sz w:val="22"/>
          <w:szCs w:val="22"/>
          <w:i w:val="1"/>
          <w:iCs w:val="1"/>
          <w:color w:val="auto"/>
        </w:rPr>
        <w:t xml:space="preserve">Step #1: </w:t>
      </w:r>
      <w:r>
        <w:rPr>
          <w:rFonts w:ascii="Arial" w:cs="Arial" w:eastAsia="Arial" w:hAnsi="Arial"/>
          <w:sz w:val="22"/>
          <w:szCs w:val="22"/>
          <w:color w:val="auto"/>
        </w:rPr>
        <w:t>A potential target bonus award is calculated by multiplying the employee’s base salary by the participant's</w:t>
      </w:r>
      <w:r>
        <w:rPr>
          <w:rFonts w:ascii="Arial" w:cs="Arial" w:eastAsia="Arial" w:hAnsi="Arial"/>
          <w:sz w:val="22"/>
          <w:szCs w:val="22"/>
          <w:i w:val="1"/>
          <w:iCs w:val="1"/>
          <w:color w:val="auto"/>
        </w:rPr>
        <w:t xml:space="preserve"> </w:t>
      </w:r>
      <w:r>
        <w:rPr>
          <w:rFonts w:ascii="Arial" w:cs="Arial" w:eastAsia="Arial" w:hAnsi="Arial"/>
          <w:sz w:val="22"/>
          <w:szCs w:val="22"/>
          <w:color w:val="auto"/>
        </w:rPr>
        <w:t>assigned target bonus percentage.</w:t>
      </w:r>
    </w:p>
    <w:p>
      <w:pPr>
        <w:spacing w:after="0" w:line="52" w:lineRule="exact"/>
        <w:rPr>
          <w:sz w:val="20"/>
          <w:szCs w:val="20"/>
          <w:color w:val="auto"/>
        </w:rPr>
      </w:pPr>
    </w:p>
    <w:p>
      <w:pPr>
        <w:jc w:val="both"/>
        <w:ind w:right="360"/>
        <w:spacing w:after="0" w:line="244" w:lineRule="auto"/>
        <w:rPr>
          <w:sz w:val="20"/>
          <w:szCs w:val="20"/>
          <w:color w:val="auto"/>
        </w:rPr>
      </w:pPr>
      <w:r>
        <w:rPr>
          <w:rFonts w:ascii="Arial" w:cs="Arial" w:eastAsia="Arial" w:hAnsi="Arial"/>
          <w:sz w:val="22"/>
          <w:szCs w:val="22"/>
          <w:i w:val="1"/>
          <w:iCs w:val="1"/>
          <w:color w:val="auto"/>
        </w:rPr>
        <w:t>Step #2</w:t>
      </w:r>
      <w:r>
        <w:rPr>
          <w:rFonts w:ascii="Arial" w:cs="Arial" w:eastAsia="Arial" w:hAnsi="Arial"/>
          <w:sz w:val="22"/>
          <w:szCs w:val="22"/>
          <w:color w:val="auto"/>
        </w:rPr>
        <w:t>: After the end of the Plan year, a corporate award multiplier will be established using the criteria described</w:t>
      </w:r>
      <w:r>
        <w:rPr>
          <w:rFonts w:ascii="Arial" w:cs="Arial" w:eastAsia="Arial" w:hAnsi="Arial"/>
          <w:sz w:val="22"/>
          <w:szCs w:val="22"/>
          <w:i w:val="1"/>
          <w:iCs w:val="1"/>
          <w:color w:val="auto"/>
        </w:rPr>
        <w:t xml:space="preserve"> </w:t>
      </w:r>
      <w:r>
        <w:rPr>
          <w:rFonts w:ascii="Arial" w:cs="Arial" w:eastAsia="Arial" w:hAnsi="Arial"/>
          <w:sz w:val="22"/>
          <w:szCs w:val="22"/>
          <w:color w:val="auto"/>
        </w:rPr>
        <w:t>above. Awards are determined by multiplying the potential target bonus awards in Step #1 by the actual corporate award multiplier.</w:t>
      </w:r>
    </w:p>
    <w:p>
      <w:pPr>
        <w:spacing w:after="0" w:line="65" w:lineRule="exact"/>
        <w:rPr>
          <w:sz w:val="20"/>
          <w:szCs w:val="20"/>
          <w:color w:val="auto"/>
        </w:rPr>
      </w:pPr>
    </w:p>
    <w:p>
      <w:pPr>
        <w:ind w:right="220"/>
        <w:spacing w:after="0" w:line="244" w:lineRule="auto"/>
        <w:rPr>
          <w:sz w:val="20"/>
          <w:szCs w:val="20"/>
          <w:color w:val="auto"/>
        </w:rPr>
      </w:pPr>
      <w:r>
        <w:rPr>
          <w:rFonts w:ascii="Arial" w:cs="Arial" w:eastAsia="Arial" w:hAnsi="Arial"/>
          <w:sz w:val="22"/>
          <w:szCs w:val="22"/>
          <w:i w:val="1"/>
          <w:iCs w:val="1"/>
          <w:color w:val="auto"/>
        </w:rPr>
        <w:t xml:space="preserve">Step #3: </w:t>
      </w:r>
      <w:r>
        <w:rPr>
          <w:rFonts w:ascii="Arial" w:cs="Arial" w:eastAsia="Arial" w:hAnsi="Arial"/>
          <w:sz w:val="22"/>
          <w:szCs w:val="22"/>
          <w:color w:val="auto"/>
        </w:rPr>
        <w:t>After the end of the Plan year, the CEO will recommend an ELT Individual Multiplier for approval by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Committee. The final award is determined by multiplying the award after application of the corporate award multiplier in Step #2 by the final ELT Individual Multiplier.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20"/>
                <w:szCs w:val="20"/>
                <w:color w:val="auto"/>
              </w:rPr>
            </w:pPr>
            <w:r>
              <w:rPr>
                <w:rFonts w:ascii="Arial" w:cs="Arial" w:eastAsia="Arial" w:hAnsi="Arial"/>
                <w:sz w:val="18"/>
                <w:szCs w:val="18"/>
                <w:i w:val="1"/>
                <w:iCs w:val="1"/>
                <w:color w:val="auto"/>
              </w:rPr>
              <w:t>Example:</w:t>
            </w: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Step #1: Determine Target Bonus Award</w:t>
            </w: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507"/>
        </w:trPr>
        <w:tc>
          <w:tcPr>
            <w:tcW w:w="180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Position:</w:t>
            </w:r>
          </w:p>
        </w:tc>
        <w:tc>
          <w:tcPr>
            <w:tcW w:w="1780" w:type="dxa"/>
            <w:vAlign w:val="bottom"/>
          </w:tcPr>
          <w:p>
            <w:pPr>
              <w:spacing w:after="0"/>
              <w:rPr>
                <w:sz w:val="24"/>
                <w:szCs w:val="24"/>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Executive Leadership Team</w:t>
            </w:r>
          </w:p>
        </w:tc>
      </w:tr>
      <w:tr>
        <w:trPr>
          <w:trHeight w:val="243"/>
        </w:trPr>
        <w:tc>
          <w:tcPr>
            <w:tcW w:w="180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$ 300,000</w:t>
            </w:r>
          </w:p>
        </w:tc>
      </w:tr>
      <w:tr>
        <w:trPr>
          <w:trHeight w:val="243"/>
        </w:trPr>
        <w:tc>
          <w:tcPr>
            <w:tcW w:w="180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Target bonus percentage:</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180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Potential target bonus:</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$ 120,000</w:t>
            </w:r>
          </w:p>
        </w:tc>
      </w:tr>
      <w:tr>
        <w:trPr>
          <w:trHeight w:val="446"/>
        </w:trPr>
        <w:tc>
          <w:tcPr>
            <w:tcW w:w="1800" w:type="dxa"/>
            <w:vAlign w:val="bottom"/>
          </w:tcPr>
          <w:p>
            <w:pPr>
              <w:spacing w:after="0"/>
              <w:rPr>
                <w:sz w:val="24"/>
                <w:szCs w:val="24"/>
                <w:color w:val="auto"/>
              </w:rPr>
            </w:pPr>
          </w:p>
        </w:tc>
        <w:tc>
          <w:tcPr>
            <w:tcW w:w="8880" w:type="dxa"/>
            <w:vAlign w:val="bottom"/>
            <w:gridSpan w:val="4"/>
          </w:tcPr>
          <w:p>
            <w:pPr>
              <w:spacing w:after="0"/>
              <w:rPr>
                <w:sz w:val="20"/>
                <w:szCs w:val="20"/>
                <w:color w:val="auto"/>
              </w:rPr>
            </w:pPr>
            <w:r>
              <w:rPr>
                <w:rFonts w:ascii="Arial" w:cs="Arial" w:eastAsia="Arial" w:hAnsi="Arial"/>
                <w:sz w:val="18"/>
                <w:szCs w:val="18"/>
                <w:i w:val="1"/>
                <w:iCs w:val="1"/>
                <w:color w:val="auto"/>
              </w:rPr>
              <w:t xml:space="preserve">Step #2: </w:t>
            </w:r>
            <w:r>
              <w:rPr>
                <w:rFonts w:ascii="Arial" w:cs="Arial" w:eastAsia="Arial" w:hAnsi="Arial"/>
                <w:sz w:val="18"/>
                <w:szCs w:val="18"/>
                <w:color w:val="auto"/>
              </w:rPr>
              <w:t>Bonus Award Calculation Related to Corporate Performance</w:t>
            </w:r>
          </w:p>
        </w:tc>
      </w:tr>
      <w:tr>
        <w:trPr>
          <w:trHeight w:val="20"/>
        </w:trPr>
        <w:tc>
          <w:tcPr>
            <w:tcW w:w="1800" w:type="dxa"/>
            <w:vAlign w:val="bottom"/>
          </w:tcPr>
          <w:p>
            <w:pPr>
              <w:spacing w:after="0" w:line="20" w:lineRule="exact"/>
              <w:rPr>
                <w:sz w:val="1"/>
                <w:szCs w:val="1"/>
                <w:color w:val="auto"/>
              </w:rPr>
            </w:pPr>
          </w:p>
        </w:tc>
        <w:tc>
          <w:tcPr>
            <w:tcW w:w="5520" w:type="dxa"/>
            <w:vAlign w:val="bottom"/>
            <w:gridSpan w:val="3"/>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507"/>
        </w:trPr>
        <w:tc>
          <w:tcPr>
            <w:tcW w:w="1800" w:type="dxa"/>
            <w:vAlign w:val="bottom"/>
          </w:tcPr>
          <w:p>
            <w:pPr>
              <w:spacing w:after="0"/>
              <w:rPr>
                <w:sz w:val="24"/>
                <w:szCs w:val="24"/>
                <w:color w:val="auto"/>
              </w:rPr>
            </w:pPr>
          </w:p>
        </w:tc>
        <w:tc>
          <w:tcPr>
            <w:tcW w:w="8880" w:type="dxa"/>
            <w:vAlign w:val="bottom"/>
            <w:gridSpan w:val="4"/>
          </w:tcPr>
          <w:p>
            <w:pPr>
              <w:spacing w:after="0"/>
              <w:rPr>
                <w:sz w:val="20"/>
                <w:szCs w:val="20"/>
                <w:color w:val="auto"/>
              </w:rPr>
            </w:pPr>
            <w:r>
              <w:rPr>
                <w:rFonts w:ascii="Arial" w:cs="Arial" w:eastAsia="Arial" w:hAnsi="Arial"/>
                <w:sz w:val="18"/>
                <w:szCs w:val="18"/>
                <w:color w:val="auto"/>
              </w:rPr>
              <w:t>Assumed payment multiplier based on assessment of corporate performance:</w:t>
            </w:r>
          </w:p>
        </w:tc>
      </w:tr>
      <w:tr>
        <w:trPr>
          <w:trHeight w:val="486"/>
        </w:trPr>
        <w:tc>
          <w:tcPr>
            <w:tcW w:w="180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Corporate multiplier</w:t>
            </w:r>
          </w:p>
        </w:tc>
        <w:tc>
          <w:tcPr>
            <w:tcW w:w="5140" w:type="dxa"/>
            <w:vAlign w:val="bottom"/>
            <w:gridSpan w:val="2"/>
          </w:tcPr>
          <w:p>
            <w:pPr>
              <w:jc w:val="right"/>
              <w:ind w:right="1450"/>
              <w:spacing w:after="0"/>
              <w:rPr>
                <w:sz w:val="20"/>
                <w:szCs w:val="20"/>
                <w:color w:val="auto"/>
              </w:rPr>
            </w:pPr>
            <w:r>
              <w:rPr>
                <w:rFonts w:ascii="Arial" w:cs="Arial" w:eastAsia="Arial" w:hAnsi="Arial"/>
                <w:sz w:val="18"/>
                <w:szCs w:val="18"/>
                <w:color w:val="auto"/>
              </w:rPr>
              <w:t>75%-performance generally met objectives</w:t>
            </w:r>
          </w:p>
        </w:tc>
      </w:tr>
      <w:tr>
        <w:trPr>
          <w:trHeight w:val="486"/>
        </w:trPr>
        <w:tc>
          <w:tcPr>
            <w:tcW w:w="180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Cash Award prior to application</w:t>
            </w:r>
          </w:p>
        </w:tc>
        <w:tc>
          <w:tcPr>
            <w:tcW w:w="17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43"/>
        </w:trPr>
        <w:tc>
          <w:tcPr>
            <w:tcW w:w="180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of ELT Individual Multiplier:</w:t>
            </w:r>
          </w:p>
        </w:tc>
        <w:tc>
          <w:tcPr>
            <w:tcW w:w="5140" w:type="dxa"/>
            <w:vAlign w:val="bottom"/>
            <w:gridSpan w:val="2"/>
          </w:tcPr>
          <w:p>
            <w:pPr>
              <w:jc w:val="right"/>
              <w:ind w:right="1930"/>
              <w:spacing w:after="0"/>
              <w:rPr>
                <w:sz w:val="20"/>
                <w:szCs w:val="20"/>
                <w:color w:val="auto"/>
              </w:rPr>
            </w:pPr>
            <w:r>
              <w:rPr>
                <w:rFonts w:ascii="Arial" w:cs="Arial" w:eastAsia="Arial" w:hAnsi="Arial"/>
                <w:sz w:val="18"/>
                <w:szCs w:val="18"/>
                <w:color w:val="auto"/>
              </w:rPr>
              <w:t>$ 90,000  ($ 120,000 x 75%)</w:t>
            </w:r>
          </w:p>
        </w:tc>
      </w:tr>
      <w:tr>
        <w:trPr>
          <w:trHeight w:val="445"/>
        </w:trPr>
        <w:tc>
          <w:tcPr>
            <w:tcW w:w="1800" w:type="dxa"/>
            <w:vAlign w:val="bottom"/>
          </w:tcPr>
          <w:p>
            <w:pPr>
              <w:spacing w:after="0"/>
              <w:rPr>
                <w:sz w:val="24"/>
                <w:szCs w:val="24"/>
                <w:color w:val="auto"/>
              </w:rPr>
            </w:pPr>
          </w:p>
        </w:tc>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Step #3: Application of ELT Individual Multiplier</w:t>
            </w:r>
          </w:p>
        </w:tc>
        <w:tc>
          <w:tcPr>
            <w:tcW w:w="17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06"/>
        </w:trPr>
        <w:tc>
          <w:tcPr>
            <w:tcW w:w="1800" w:type="dxa"/>
            <w:vAlign w:val="bottom"/>
          </w:tcPr>
          <w:p>
            <w:pPr>
              <w:spacing w:after="0"/>
              <w:rPr>
                <w:sz w:val="24"/>
                <w:szCs w:val="24"/>
                <w:color w:val="auto"/>
              </w:rPr>
            </w:pPr>
          </w:p>
        </w:tc>
        <w:tc>
          <w:tcPr>
            <w:tcW w:w="8880" w:type="dxa"/>
            <w:vAlign w:val="bottom"/>
            <w:gridSpan w:val="4"/>
          </w:tcPr>
          <w:p>
            <w:pPr>
              <w:spacing w:after="0"/>
              <w:rPr>
                <w:sz w:val="20"/>
                <w:szCs w:val="20"/>
                <w:color w:val="auto"/>
              </w:rPr>
            </w:pPr>
            <w:r>
              <w:rPr>
                <w:rFonts w:ascii="Arial" w:cs="Arial" w:eastAsia="Arial" w:hAnsi="Arial"/>
                <w:sz w:val="18"/>
                <w:szCs w:val="18"/>
                <w:color w:val="auto"/>
              </w:rPr>
              <w:t>ELT Individual Multiplier approved by Compensation Committee: 120%</w:t>
            </w:r>
          </w:p>
        </w:tc>
      </w:tr>
      <w:tr>
        <w:trPr>
          <w:trHeight w:val="486"/>
        </w:trPr>
        <w:tc>
          <w:tcPr>
            <w:tcW w:w="180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Total Award</w:t>
            </w:r>
          </w:p>
        </w:tc>
        <w:tc>
          <w:tcPr>
            <w:tcW w:w="5140" w:type="dxa"/>
            <w:vAlign w:val="bottom"/>
            <w:gridSpan w:val="2"/>
          </w:tcPr>
          <w:p>
            <w:pPr>
              <w:jc w:val="right"/>
              <w:ind w:right="1930"/>
              <w:spacing w:after="0"/>
              <w:rPr>
                <w:sz w:val="20"/>
                <w:szCs w:val="20"/>
                <w:color w:val="auto"/>
              </w:rPr>
            </w:pPr>
            <w:r>
              <w:rPr>
                <w:rFonts w:ascii="Arial" w:cs="Arial" w:eastAsia="Arial" w:hAnsi="Arial"/>
                <w:sz w:val="18"/>
                <w:szCs w:val="18"/>
                <w:b w:val="1"/>
                <w:bCs w:val="1"/>
                <w:color w:val="auto"/>
              </w:rPr>
              <w:t>$ 90,000 x 120% = $108,000</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480" w:type="dxa"/>
            <w:vAlign w:val="bottom"/>
          </w:tcPr>
          <w:p>
            <w:pPr>
              <w:spacing w:after="0"/>
              <w:rPr>
                <w:sz w:val="20"/>
                <w:szCs w:val="20"/>
                <w:color w:val="auto"/>
              </w:rPr>
            </w:pPr>
            <w:r>
              <w:rPr>
                <w:rFonts w:ascii="Arial" w:cs="Arial" w:eastAsia="Arial" w:hAnsi="Arial"/>
                <w:sz w:val="14"/>
                <w:szCs w:val="14"/>
                <w:color w:val="auto"/>
              </w:rPr>
              <w:t>US-DOCS\113699376.3</w:t>
            </w:r>
          </w:p>
        </w:tc>
        <w:tc>
          <w:tcPr>
            <w:tcW w:w="7780" w:type="dxa"/>
            <w:vAlign w:val="bottom"/>
          </w:tcPr>
          <w:p>
            <w:pPr>
              <w:jc w:val="right"/>
              <w:ind w:right="5492"/>
              <w:spacing w:after="0"/>
              <w:rPr>
                <w:sz w:val="20"/>
                <w:szCs w:val="20"/>
                <w:color w:val="auto"/>
              </w:rPr>
            </w:pPr>
            <w:r>
              <w:rPr>
                <w:rFonts w:ascii="Arial" w:cs="Arial" w:eastAsia="Arial" w:hAnsi="Arial"/>
                <w:sz w:val="22"/>
                <w:szCs w:val="22"/>
                <w:color w:val="auto"/>
              </w:rPr>
              <w:t>5</w:t>
            </w:r>
          </w:p>
        </w:tc>
      </w:tr>
      <w:tr>
        <w:trPr>
          <w:trHeight w:val="438"/>
        </w:trPr>
        <w:tc>
          <w:tcPr>
            <w:tcW w:w="348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40" w:name="page41"/>
    <w:bookmarkEnd w:id="40"/>
    <w:p>
      <w:pPr>
        <w:jc w:val="right"/>
        <w:ind w:right="20"/>
        <w:spacing w:after="0"/>
        <w:rPr>
          <w:sz w:val="20"/>
          <w:szCs w:val="20"/>
          <w:color w:val="auto"/>
        </w:rPr>
      </w:pPr>
      <w:r>
        <w:rPr>
          <w:rFonts w:ascii="Arial" w:cs="Arial" w:eastAsia="Arial" w:hAnsi="Arial"/>
          <w:sz w:val="22"/>
          <w:szCs w:val="22"/>
          <w:b w:val="1"/>
          <w:bCs w:val="1"/>
          <w:color w:val="auto"/>
        </w:rPr>
        <w:t>CONFIDENTIAL</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AWARD PAYMENTS</w:t>
      </w:r>
    </w:p>
    <w:p>
      <w:pPr>
        <w:spacing w:after="0" w:line="232" w:lineRule="exact"/>
        <w:rPr>
          <w:sz w:val="20"/>
          <w:szCs w:val="20"/>
          <w:color w:val="auto"/>
        </w:rPr>
      </w:pPr>
    </w:p>
    <w:p>
      <w:pPr>
        <w:ind w:right="80"/>
        <w:spacing w:after="0" w:line="232" w:lineRule="auto"/>
        <w:rPr>
          <w:sz w:val="20"/>
          <w:szCs w:val="20"/>
          <w:color w:val="auto"/>
        </w:rPr>
      </w:pPr>
      <w:r>
        <w:rPr>
          <w:rFonts w:ascii="Arial" w:cs="Arial" w:eastAsia="Arial" w:hAnsi="Arial"/>
          <w:sz w:val="22"/>
          <w:szCs w:val="22"/>
          <w:color w:val="auto"/>
        </w:rPr>
        <w:t>Bonus award payments may be made in cash, through the issuance of stock, stock options or another form of equity award, or by a combination of cash, stock, stock options and/or another form of equity award, at the discretion of the Compensation Committee. All bonus award payments are subject to applicable tax withholdings. In the event that the Compensation Committee elects to pay bonus awards in stock or stock options, the Compensation Committee, in its sole discretion, will make a determination as to the number of shares of stock or stock options to be issued to each Plan participant in satisfaction of such bonus awards. The issuance of stock and stock options may also be subject to the approval of the Company’s stockholders, and any stock options issued will be subject to the terms and conditions of the Company’s equity plan.</w:t>
      </w:r>
    </w:p>
    <w:p>
      <w:pPr>
        <w:spacing w:after="0" w:line="204"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Payment of bonus awards will be made at such times as determined by the Compensation Committee, but not later than four months following the Plan year.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PLAN PROVISIONS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Governance</w:t>
      </w:r>
    </w:p>
    <w:p>
      <w:pPr>
        <w:spacing w:after="0" w:line="232"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The Plan will be administered by the Compensation Committee of the Board of Directors (the “Compensation Committee”). The CEO of Phathom will be responsible for the administration of the Plan with respect to non-executive employees. The Compensation Committee will be responsible for approving any compensation or incentive awards to executive officers of the Company. All determinations of the Compensation Committee or the CEO, as applicable, under the Plan, shall be final and binding on all Plan participants.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Committee’s Absolute Right to Alter or Abolish the Plan</w:t>
      </w:r>
    </w:p>
    <w:p>
      <w:pPr>
        <w:spacing w:after="0" w:line="232" w:lineRule="exact"/>
        <w:rPr>
          <w:sz w:val="20"/>
          <w:szCs w:val="20"/>
          <w:color w:val="auto"/>
        </w:rPr>
      </w:pPr>
    </w:p>
    <w:p>
      <w:pPr>
        <w:ind w:right="200"/>
        <w:spacing w:after="0" w:line="233" w:lineRule="auto"/>
        <w:rPr>
          <w:sz w:val="20"/>
          <w:szCs w:val="20"/>
          <w:color w:val="auto"/>
        </w:rPr>
      </w:pPr>
      <w:r>
        <w:rPr>
          <w:rFonts w:ascii="Arial" w:cs="Arial" w:eastAsia="Arial" w:hAnsi="Arial"/>
          <w:sz w:val="22"/>
          <w:szCs w:val="22"/>
          <w:color w:val="auto"/>
        </w:rPr>
        <w:t>The Compensation Committee reserves the right in its absolute discretion to abolish the Plan at any time or to alter the terms and conditions under which incentive compensation will be paid. Such discretion may be exercised any time before, during, and after the Plan year is completed. No participant shall have any vested right to receive any compensation hereunder until actual delivery of such compensation. Participation in the Plan at any given time does not guarantee ongoing participation.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Duration/Employment Relationship</w:t>
      </w:r>
    </w:p>
    <w:p>
      <w:pPr>
        <w:spacing w:after="0" w:line="232" w:lineRule="exact"/>
        <w:rPr>
          <w:sz w:val="20"/>
          <w:szCs w:val="20"/>
          <w:color w:val="auto"/>
        </w:rPr>
      </w:pPr>
    </w:p>
    <w:p>
      <w:pPr>
        <w:ind w:right="160"/>
        <w:spacing w:after="0" w:line="234" w:lineRule="auto"/>
        <w:rPr>
          <w:sz w:val="20"/>
          <w:szCs w:val="20"/>
          <w:color w:val="auto"/>
        </w:rPr>
      </w:pPr>
      <w:r>
        <w:rPr>
          <w:rFonts w:ascii="Arial" w:cs="Arial" w:eastAsia="Arial" w:hAnsi="Arial"/>
          <w:sz w:val="22"/>
          <w:szCs w:val="22"/>
          <w:color w:val="auto"/>
        </w:rPr>
        <w:t>This Plan does not, and Phathom’s policies and practices in administering this Plan do not, constitute an express or implied contract or other agreement concerning the duration of any participant’s employment with the Company. The employment relationship of each participant is “at will” and may be terminated at any time by Phathom or by the participant, with or without cause.</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480" w:type="dxa"/>
            <w:vAlign w:val="bottom"/>
          </w:tcPr>
          <w:p>
            <w:pPr>
              <w:spacing w:after="0"/>
              <w:rPr>
                <w:sz w:val="20"/>
                <w:szCs w:val="20"/>
                <w:color w:val="auto"/>
              </w:rPr>
            </w:pPr>
            <w:r>
              <w:rPr>
                <w:rFonts w:ascii="Arial" w:cs="Arial" w:eastAsia="Arial" w:hAnsi="Arial"/>
                <w:sz w:val="14"/>
                <w:szCs w:val="14"/>
                <w:color w:val="auto"/>
              </w:rPr>
              <w:t>US-DOCS\113699376.3</w:t>
            </w:r>
          </w:p>
        </w:tc>
        <w:tc>
          <w:tcPr>
            <w:tcW w:w="7780" w:type="dxa"/>
            <w:vAlign w:val="bottom"/>
          </w:tcPr>
          <w:p>
            <w:pPr>
              <w:jc w:val="right"/>
              <w:ind w:right="5492"/>
              <w:spacing w:after="0"/>
              <w:rPr>
                <w:sz w:val="20"/>
                <w:szCs w:val="20"/>
                <w:color w:val="auto"/>
              </w:rPr>
            </w:pPr>
            <w:r>
              <w:rPr>
                <w:rFonts w:ascii="Arial" w:cs="Arial" w:eastAsia="Arial" w:hAnsi="Arial"/>
                <w:sz w:val="22"/>
                <w:szCs w:val="22"/>
                <w:color w:val="auto"/>
              </w:rPr>
              <w:t>6</w:t>
            </w:r>
          </w:p>
        </w:tc>
      </w:tr>
      <w:tr>
        <w:trPr>
          <w:trHeight w:val="438"/>
        </w:trPr>
        <w:tc>
          <w:tcPr>
            <w:tcW w:w="348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CONFIDENTIAL</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Unfunded CONFIDENTIAL</w:t>
      </w:r>
    </w:p>
    <w:p>
      <w:pPr>
        <w:spacing w:after="0" w:line="232"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The Plan shall be unfunded. Amounts payable under the Plan are not and will not be transferred into a trust or otherwise set aside. The Company shall not be required to establish any special or separate fund or to make any other segregation of assets to assure the payment of any award under the Plan. Any accounts under the Plan are for bookkeeping purposes only and do not represent a claim against the specific assets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Rights Not Transferable</w:t>
      </w:r>
    </w:p>
    <w:p>
      <w:pPr>
        <w:spacing w:after="0" w:line="23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No rights of any participant to payments of any amounts under the Plan may be sold, transferred, pledged, assigned, or otherwise alienated or hypothecated. All rights with respect to an award granted to a participant under the Plan shall be available during his or her lifetime only to the participant.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t>
      </w:r>
    </w:p>
    <w:p>
      <w:pPr>
        <w:spacing w:after="0" w:line="232"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The Plan shall be construed, interpreted and the rights of the parties determined in accordance with the laws of the State of New Jersey (without regard to principles of conflicts of law).</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Any questions pertaining to this plan should be directed to the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480" w:type="dxa"/>
            <w:vAlign w:val="bottom"/>
          </w:tcPr>
          <w:p>
            <w:pPr>
              <w:spacing w:after="0"/>
              <w:rPr>
                <w:sz w:val="20"/>
                <w:szCs w:val="20"/>
                <w:color w:val="auto"/>
              </w:rPr>
            </w:pPr>
            <w:r>
              <w:rPr>
                <w:rFonts w:ascii="Arial" w:cs="Arial" w:eastAsia="Arial" w:hAnsi="Arial"/>
                <w:sz w:val="14"/>
                <w:szCs w:val="14"/>
                <w:color w:val="auto"/>
              </w:rPr>
              <w:t>US-DOCS\113699376.3</w:t>
            </w:r>
          </w:p>
        </w:tc>
        <w:tc>
          <w:tcPr>
            <w:tcW w:w="2180" w:type="dxa"/>
            <w:vAlign w:val="bottom"/>
          </w:tcPr>
          <w:p>
            <w:pPr>
              <w:jc w:val="right"/>
              <w:spacing w:after="0"/>
              <w:rPr>
                <w:sz w:val="20"/>
                <w:szCs w:val="20"/>
                <w:color w:val="auto"/>
              </w:rPr>
            </w:pPr>
            <w:r>
              <w:rPr>
                <w:rFonts w:ascii="Arial" w:cs="Arial" w:eastAsia="Arial" w:hAnsi="Arial"/>
                <w:sz w:val="22"/>
                <w:szCs w:val="22"/>
                <w:color w:val="auto"/>
              </w:rPr>
              <w:t>7</w:t>
            </w:r>
          </w:p>
        </w:tc>
      </w:tr>
    </w:tbl>
    <w:p>
      <w:pPr>
        <w:sectPr>
          <w:pgSz w:w="11900" w:h="16838" w:orient="portrait"/>
          <w:cols w:equalWidth="0" w:num="1">
            <w:col w:w="11240"/>
          </w:cols>
          <w:pgMar w:left="320" w:top="106"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10.2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jc w:val="center"/>
        <w:spacing w:after="0" w:line="230" w:lineRule="auto"/>
        <w:rPr>
          <w:sz w:val="20"/>
          <w:szCs w:val="20"/>
          <w:color w:val="auto"/>
        </w:rPr>
      </w:pPr>
      <w:r>
        <w:rPr>
          <w:rFonts w:ascii="Arial" w:cs="Arial" w:eastAsia="Arial" w:hAnsi="Arial"/>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LOAN AND SECURITY AGREEMENT</w:t>
      </w:r>
    </w:p>
    <w:p>
      <w:pPr>
        <w:spacing w:after="0" w:line="182"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color w:val="auto"/>
        </w:rPr>
        <w:t>This First Amendment to Loan and Security Agreement (this “</w:t>
      </w:r>
      <w:r>
        <w:rPr>
          <w:rFonts w:ascii="Arial" w:cs="Arial" w:eastAsia="Arial" w:hAnsi="Arial"/>
          <w:sz w:val="21"/>
          <w:szCs w:val="21"/>
          <w:b w:val="1"/>
          <w:bCs w:val="1"/>
          <w:color w:val="auto"/>
        </w:rPr>
        <w:t>Amendment</w:t>
      </w:r>
      <w:r>
        <w:rPr>
          <w:rFonts w:ascii="Arial" w:cs="Arial" w:eastAsia="Arial" w:hAnsi="Arial"/>
          <w:sz w:val="21"/>
          <w:szCs w:val="21"/>
          <w:color w:val="auto"/>
        </w:rPr>
        <w:t xml:space="preserve">”) is entered into this 11th day of March, 2020, by and among (a) </w:t>
      </w:r>
      <w:r>
        <w:rPr>
          <w:rFonts w:ascii="Arial" w:cs="Arial" w:eastAsia="Arial" w:hAnsi="Arial"/>
          <w:sz w:val="21"/>
          <w:szCs w:val="21"/>
          <w:b w:val="1"/>
          <w:bCs w:val="1"/>
          <w:color w:val="auto"/>
        </w:rPr>
        <w:t>SILICON VALLEY BANK</w:t>
      </w:r>
      <w:r>
        <w:rPr>
          <w:rFonts w:ascii="Arial" w:cs="Arial" w:eastAsia="Arial" w:hAnsi="Arial"/>
          <w:sz w:val="21"/>
          <w:szCs w:val="21"/>
          <w:color w:val="auto"/>
        </w:rPr>
        <w:t>, a California corporation (“</w:t>
      </w:r>
      <w:r>
        <w:rPr>
          <w:rFonts w:ascii="Arial" w:cs="Arial" w:eastAsia="Arial" w:hAnsi="Arial"/>
          <w:sz w:val="21"/>
          <w:szCs w:val="21"/>
          <w:b w:val="1"/>
          <w:bCs w:val="1"/>
          <w:color w:val="auto"/>
        </w:rPr>
        <w:t>SVB</w:t>
      </w:r>
      <w:r>
        <w:rPr>
          <w:rFonts w:ascii="Arial" w:cs="Arial" w:eastAsia="Arial" w:hAnsi="Arial"/>
          <w:sz w:val="21"/>
          <w:szCs w:val="21"/>
          <w:color w:val="auto"/>
        </w:rPr>
        <w:t>”), in its capacity as administrative agent and collateral agent (“</w:t>
      </w:r>
      <w:r>
        <w:rPr>
          <w:rFonts w:ascii="Arial" w:cs="Arial" w:eastAsia="Arial" w:hAnsi="Arial"/>
          <w:sz w:val="21"/>
          <w:szCs w:val="21"/>
          <w:b w:val="1"/>
          <w:bCs w:val="1"/>
          <w:color w:val="auto"/>
        </w:rPr>
        <w:t>Agent</w:t>
      </w:r>
      <w:r>
        <w:rPr>
          <w:rFonts w:ascii="Arial" w:cs="Arial" w:eastAsia="Arial" w:hAnsi="Arial"/>
          <w:sz w:val="21"/>
          <w:szCs w:val="21"/>
          <w:color w:val="auto"/>
        </w:rPr>
        <w:t xml:space="preserve">”), (b) </w:t>
      </w:r>
      <w:r>
        <w:rPr>
          <w:rFonts w:ascii="Arial" w:cs="Arial" w:eastAsia="Arial" w:hAnsi="Arial"/>
          <w:sz w:val="21"/>
          <w:szCs w:val="21"/>
          <w:b w:val="1"/>
          <w:bCs w:val="1"/>
          <w:color w:val="auto"/>
        </w:rPr>
        <w:t>SILICON VALLEY BANK</w:t>
      </w:r>
      <w:r>
        <w:rPr>
          <w:rFonts w:ascii="Arial" w:cs="Arial" w:eastAsia="Arial" w:hAnsi="Arial"/>
          <w:sz w:val="21"/>
          <w:szCs w:val="21"/>
          <w:color w:val="auto"/>
        </w:rPr>
        <w:t xml:space="preserve">, a California corporation, as a lender, (c) </w:t>
      </w:r>
      <w:r>
        <w:rPr>
          <w:rFonts w:ascii="Arial" w:cs="Arial" w:eastAsia="Arial" w:hAnsi="Arial"/>
          <w:sz w:val="21"/>
          <w:szCs w:val="21"/>
          <w:b w:val="1"/>
          <w:bCs w:val="1"/>
          <w:color w:val="auto"/>
        </w:rPr>
        <w:t>WESTRIVER</w:t>
      </w:r>
      <w:r>
        <w:rPr>
          <w:rFonts w:ascii="Arial" w:cs="Arial" w:eastAsia="Arial" w:hAnsi="Arial"/>
          <w:sz w:val="21"/>
          <w:szCs w:val="21"/>
          <w:color w:val="auto"/>
        </w:rPr>
        <w:t xml:space="preserve"> </w:t>
      </w:r>
      <w:r>
        <w:rPr>
          <w:rFonts w:ascii="Arial" w:cs="Arial" w:eastAsia="Arial" w:hAnsi="Arial"/>
          <w:sz w:val="21"/>
          <w:szCs w:val="21"/>
          <w:b w:val="1"/>
          <w:bCs w:val="1"/>
          <w:color w:val="auto"/>
        </w:rPr>
        <w:t>INNOVATION LENDING FUND VIII, L.P.</w:t>
      </w:r>
      <w:r>
        <w:rPr>
          <w:rFonts w:ascii="Arial" w:cs="Arial" w:eastAsia="Arial" w:hAnsi="Arial"/>
          <w:sz w:val="21"/>
          <w:szCs w:val="21"/>
          <w:color w:val="auto"/>
        </w:rPr>
        <w:t>, a Delaware limited partnership (“</w:t>
      </w:r>
      <w:r>
        <w:rPr>
          <w:rFonts w:ascii="Arial" w:cs="Arial" w:eastAsia="Arial" w:hAnsi="Arial"/>
          <w:sz w:val="21"/>
          <w:szCs w:val="21"/>
          <w:b w:val="1"/>
          <w:bCs w:val="1"/>
          <w:color w:val="auto"/>
        </w:rPr>
        <w:t>WestRiver</w:t>
      </w:r>
      <w:r>
        <w:rPr>
          <w:rFonts w:ascii="Arial" w:cs="Arial" w:eastAsia="Arial" w:hAnsi="Arial"/>
          <w:sz w:val="21"/>
          <w:szCs w:val="21"/>
          <w:color w:val="auto"/>
        </w:rPr>
        <w:t>”), as a lender (SVB and WestRiver</w:t>
      </w:r>
      <w:r>
        <w:rPr>
          <w:rFonts w:ascii="Arial" w:cs="Arial" w:eastAsia="Arial" w:hAnsi="Arial"/>
          <w:sz w:val="21"/>
          <w:szCs w:val="21"/>
          <w:b w:val="1"/>
          <w:bCs w:val="1"/>
          <w:color w:val="auto"/>
        </w:rPr>
        <w:t xml:space="preserve"> </w:t>
      </w:r>
      <w:r>
        <w:rPr>
          <w:rFonts w:ascii="Arial" w:cs="Arial" w:eastAsia="Arial" w:hAnsi="Arial"/>
          <w:sz w:val="21"/>
          <w:szCs w:val="21"/>
          <w:color w:val="auto"/>
        </w:rPr>
        <w:t>and each of the other “ Lenders” from time to time a party hereto are referred to herein collectively as the “</w:t>
      </w:r>
      <w:r>
        <w:rPr>
          <w:rFonts w:ascii="Arial" w:cs="Arial" w:eastAsia="Arial" w:hAnsi="Arial"/>
          <w:sz w:val="21"/>
          <w:szCs w:val="21"/>
          <w:b w:val="1"/>
          <w:bCs w:val="1"/>
          <w:color w:val="auto"/>
        </w:rPr>
        <w:t>Lenders</w:t>
      </w:r>
      <w:r>
        <w:rPr>
          <w:rFonts w:ascii="Arial" w:cs="Arial" w:eastAsia="Arial" w:hAnsi="Arial"/>
          <w:sz w:val="21"/>
          <w:szCs w:val="21"/>
          <w:color w:val="auto"/>
        </w:rPr>
        <w:t>” and each individually as a “</w:t>
      </w:r>
      <w:r>
        <w:rPr>
          <w:rFonts w:ascii="Arial" w:cs="Arial" w:eastAsia="Arial" w:hAnsi="Arial"/>
          <w:sz w:val="21"/>
          <w:szCs w:val="21"/>
          <w:b w:val="1"/>
          <w:bCs w:val="1"/>
          <w:color w:val="auto"/>
        </w:rPr>
        <w:t>Lender</w:t>
      </w:r>
      <w:r>
        <w:rPr>
          <w:rFonts w:ascii="Arial" w:cs="Arial" w:eastAsia="Arial" w:hAnsi="Arial"/>
          <w:sz w:val="21"/>
          <w:szCs w:val="21"/>
          <w:color w:val="auto"/>
        </w:rPr>
        <w:t xml:space="preserve">”), and (d) </w:t>
      </w:r>
      <w:r>
        <w:rPr>
          <w:rFonts w:ascii="Arial" w:cs="Arial" w:eastAsia="Arial" w:hAnsi="Arial"/>
          <w:sz w:val="21"/>
          <w:szCs w:val="21"/>
          <w:b w:val="1"/>
          <w:bCs w:val="1"/>
          <w:color w:val="auto"/>
        </w:rPr>
        <w:t>PHATHOM PHARMACEUTICALS, INC.</w:t>
      </w:r>
      <w:r>
        <w:rPr>
          <w:rFonts w:ascii="Arial" w:cs="Arial" w:eastAsia="Arial" w:hAnsi="Arial"/>
          <w:sz w:val="21"/>
          <w:szCs w:val="21"/>
          <w:color w:val="auto"/>
        </w:rPr>
        <w:t>, a Delaware corporation (“</w:t>
      </w:r>
      <w:r>
        <w:rPr>
          <w:rFonts w:ascii="Arial" w:cs="Arial" w:eastAsia="Arial" w:hAnsi="Arial"/>
          <w:sz w:val="21"/>
          <w:szCs w:val="21"/>
          <w:b w:val="1"/>
          <w:bCs w:val="1"/>
          <w:color w:val="auto"/>
        </w:rPr>
        <w:t>Borrower</w:t>
      </w:r>
      <w:r>
        <w:rPr>
          <w:rFonts w:ascii="Arial" w:cs="Arial" w:eastAsia="Arial" w:hAnsi="Arial"/>
          <w:sz w:val="21"/>
          <w:szCs w:val="21"/>
          <w:color w:val="auto"/>
        </w:rPr>
        <w:t>”), whose address is 100 Campus Drive, Suite 102, Florham Park, New Jersey 07932.</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p>
    <w:p>
      <w:pPr>
        <w:spacing w:after="0" w:line="185" w:lineRule="exact"/>
        <w:rPr>
          <w:sz w:val="20"/>
          <w:szCs w:val="20"/>
          <w:color w:val="auto"/>
        </w:rPr>
      </w:pPr>
    </w:p>
    <w:p>
      <w:pPr>
        <w:ind w:firstLine="872"/>
        <w:spacing w:after="0" w:line="328" w:lineRule="auto"/>
        <w:tabs>
          <w:tab w:leader="none" w:pos="1721" w:val="left"/>
        </w:tabs>
        <w:numPr>
          <w:ilvl w:val="0"/>
          <w:numId w:val="11"/>
        </w:numPr>
        <w:rPr>
          <w:rFonts w:ascii="Arial" w:cs="Arial" w:eastAsia="Arial" w:hAnsi="Arial"/>
          <w:sz w:val="19"/>
          <w:szCs w:val="19"/>
          <w:b w:val="1"/>
          <w:bCs w:val="1"/>
          <w:color w:val="auto"/>
        </w:rPr>
      </w:pPr>
      <w:r>
        <w:rPr>
          <w:rFonts w:ascii="Arial" w:cs="Arial" w:eastAsia="Arial" w:hAnsi="Arial"/>
          <w:sz w:val="19"/>
          <w:szCs w:val="19"/>
          <w:color w:val="auto"/>
        </w:rPr>
        <w:t>Borrower, Agent and the Lenders have entered into that certain Loan and Security Agreement dated as of May 14, 2019 (as the same may from time to time be amended, modified, supplemented or restated, the “</w:t>
      </w:r>
      <w:r>
        <w:rPr>
          <w:rFonts w:ascii="Arial" w:cs="Arial" w:eastAsia="Arial" w:hAnsi="Arial"/>
          <w:sz w:val="19"/>
          <w:szCs w:val="19"/>
          <w:b w:val="1"/>
          <w:bCs w:val="1"/>
          <w:color w:val="auto"/>
        </w:rPr>
        <w:t>Loan Agreement</w:t>
      </w:r>
      <w:r>
        <w:rPr>
          <w:rFonts w:ascii="Arial" w:cs="Arial" w:eastAsia="Arial" w:hAnsi="Arial"/>
          <w:sz w:val="19"/>
          <w:szCs w:val="19"/>
          <w:color w:val="auto"/>
        </w:rPr>
        <w:t>”).</w:t>
      </w:r>
    </w:p>
    <w:p>
      <w:pPr>
        <w:spacing w:after="0" w:line="64" w:lineRule="exact"/>
        <w:rPr>
          <w:rFonts w:ascii="Arial" w:cs="Arial" w:eastAsia="Arial" w:hAnsi="Arial"/>
          <w:sz w:val="19"/>
          <w:szCs w:val="19"/>
          <w:b w:val="1"/>
          <w:bCs w:val="1"/>
          <w:color w:val="auto"/>
        </w:rPr>
      </w:pPr>
    </w:p>
    <w:p>
      <w:pPr>
        <w:ind w:left="1720" w:hanging="848"/>
        <w:spacing w:after="0"/>
        <w:tabs>
          <w:tab w:leader="none" w:pos="1720" w:val="left"/>
        </w:tabs>
        <w:numPr>
          <w:ilvl w:val="0"/>
          <w:numId w:val="11"/>
        </w:numPr>
        <w:rPr>
          <w:rFonts w:ascii="Arial" w:cs="Arial" w:eastAsia="Arial" w:hAnsi="Arial"/>
          <w:sz w:val="22"/>
          <w:szCs w:val="22"/>
          <w:b w:val="1"/>
          <w:bCs w:val="1"/>
          <w:color w:val="auto"/>
        </w:rPr>
      </w:pPr>
      <w:r>
        <w:rPr>
          <w:rFonts w:ascii="Arial" w:cs="Arial" w:eastAsia="Arial" w:hAnsi="Arial"/>
          <w:sz w:val="22"/>
          <w:szCs w:val="22"/>
          <w:color w:val="auto"/>
        </w:rPr>
        <w:t>The Lenders have extended credit to Borrower for the purposes permitted in the Loan Agreement.</w:t>
      </w:r>
    </w:p>
    <w:p>
      <w:pPr>
        <w:spacing w:after="0" w:line="165" w:lineRule="exact"/>
        <w:rPr>
          <w:rFonts w:ascii="Arial" w:cs="Arial" w:eastAsia="Arial" w:hAnsi="Arial"/>
          <w:sz w:val="22"/>
          <w:szCs w:val="22"/>
          <w:b w:val="1"/>
          <w:bCs w:val="1"/>
          <w:color w:val="auto"/>
        </w:rPr>
      </w:pPr>
    </w:p>
    <w:p>
      <w:pPr>
        <w:ind w:firstLine="872"/>
        <w:spacing w:after="0" w:line="250" w:lineRule="auto"/>
        <w:tabs>
          <w:tab w:leader="none" w:pos="1721" w:val="left"/>
        </w:tabs>
        <w:numPr>
          <w:ilvl w:val="0"/>
          <w:numId w:val="11"/>
        </w:numPr>
        <w:rPr>
          <w:rFonts w:ascii="Arial" w:cs="Arial" w:eastAsia="Arial" w:hAnsi="Arial"/>
          <w:sz w:val="22"/>
          <w:szCs w:val="22"/>
          <w:b w:val="1"/>
          <w:bCs w:val="1"/>
          <w:color w:val="auto"/>
        </w:rPr>
      </w:pPr>
      <w:r>
        <w:rPr>
          <w:rFonts w:ascii="Arial" w:cs="Arial" w:eastAsia="Arial" w:hAnsi="Arial"/>
          <w:sz w:val="22"/>
          <w:szCs w:val="22"/>
          <w:color w:val="auto"/>
        </w:rPr>
        <w:t>Borrower has requested that the Lenders amend the Loan Agreement to make certain revisions to the Loan Agreement as more fully set forth herein.</w:t>
      </w:r>
    </w:p>
    <w:p>
      <w:pPr>
        <w:spacing w:after="0" w:line="147" w:lineRule="exact"/>
        <w:rPr>
          <w:rFonts w:ascii="Arial" w:cs="Arial" w:eastAsia="Arial" w:hAnsi="Arial"/>
          <w:sz w:val="22"/>
          <w:szCs w:val="22"/>
          <w:b w:val="1"/>
          <w:bCs w:val="1"/>
          <w:color w:val="auto"/>
        </w:rPr>
      </w:pPr>
    </w:p>
    <w:p>
      <w:pPr>
        <w:ind w:firstLine="872"/>
        <w:spacing w:after="0" w:line="328" w:lineRule="auto"/>
        <w:tabs>
          <w:tab w:leader="none" w:pos="1721" w:val="left"/>
        </w:tabs>
        <w:numPr>
          <w:ilvl w:val="0"/>
          <w:numId w:val="11"/>
        </w:numPr>
        <w:rPr>
          <w:rFonts w:ascii="Arial" w:cs="Arial" w:eastAsia="Arial" w:hAnsi="Arial"/>
          <w:sz w:val="19"/>
          <w:szCs w:val="19"/>
          <w:b w:val="1"/>
          <w:bCs w:val="1"/>
          <w:color w:val="auto"/>
        </w:rPr>
      </w:pPr>
      <w:r>
        <w:rPr>
          <w:rFonts w:ascii="Arial" w:cs="Arial" w:eastAsia="Arial" w:hAnsi="Arial"/>
          <w:sz w:val="19"/>
          <w:szCs w:val="19"/>
          <w:color w:val="auto"/>
        </w:rPr>
        <w:t>The Lenders have agreed to so amend certain provisions of the Loan Agreement, but only to the extent, in accordance with the terms, subject to the conditions and in reliance upon the representations and warranties set forth below.</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p>
    <w:p>
      <w:pPr>
        <w:spacing w:after="0" w:line="166" w:lineRule="exact"/>
        <w:rPr>
          <w:sz w:val="20"/>
          <w:szCs w:val="20"/>
          <w:color w:val="auto"/>
        </w:rPr>
      </w:pPr>
    </w:p>
    <w:p>
      <w:pPr>
        <w:ind w:right="20" w:firstLine="864"/>
        <w:spacing w:after="0" w:line="306"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the foregoing recitals and other good and valuable consideration, the receipt and</w:t>
      </w:r>
      <w:r>
        <w:rPr>
          <w:rFonts w:ascii="Arial" w:cs="Arial" w:eastAsia="Arial" w:hAnsi="Arial"/>
          <w:sz w:val="20"/>
          <w:szCs w:val="20"/>
          <w:b w:val="1"/>
          <w:bCs w:val="1"/>
          <w:color w:val="auto"/>
        </w:rPr>
        <w:t xml:space="preserve"> </w:t>
      </w:r>
      <w:r>
        <w:rPr>
          <w:rFonts w:ascii="Arial" w:cs="Arial" w:eastAsia="Arial" w:hAnsi="Arial"/>
          <w:sz w:val="20"/>
          <w:szCs w:val="20"/>
          <w:color w:val="auto"/>
        </w:rPr>
        <w:t>adequacy of which is hereby acknowledged, and intending to be legally bound, the parties hereto agree as follows:</w:t>
      </w:r>
    </w:p>
    <w:p>
      <w:pPr>
        <w:spacing w:after="0" w:line="89" w:lineRule="exact"/>
        <w:rPr>
          <w:sz w:val="20"/>
          <w:szCs w:val="20"/>
          <w:color w:val="auto"/>
        </w:rPr>
      </w:pPr>
    </w:p>
    <w:p>
      <w:pPr>
        <w:ind w:right="20" w:firstLine="872"/>
        <w:spacing w:after="0" w:line="256" w:lineRule="auto"/>
        <w:tabs>
          <w:tab w:leader="none" w:pos="1674"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Capitalized terms used but not defined in this Amendment shall have the meanings given to</w:t>
      </w:r>
      <w:r>
        <w:rPr>
          <w:rFonts w:ascii="Arial" w:cs="Arial" w:eastAsia="Arial" w:hAnsi="Arial"/>
          <w:sz w:val="22"/>
          <w:szCs w:val="22"/>
          <w:b w:val="1"/>
          <w:bCs w:val="1"/>
          <w:color w:val="auto"/>
        </w:rPr>
        <w:t xml:space="preserve"> </w:t>
      </w:r>
      <w:r>
        <w:rPr>
          <w:rFonts w:ascii="Arial" w:cs="Arial" w:eastAsia="Arial" w:hAnsi="Arial"/>
          <w:sz w:val="22"/>
          <w:szCs w:val="22"/>
          <w:color w:val="auto"/>
        </w:rPr>
        <w:t>them in the Loan Agreement.</w:t>
      </w:r>
    </w:p>
    <w:p>
      <w:pPr>
        <w:spacing w:after="0" w:line="121" w:lineRule="exact"/>
        <w:rPr>
          <w:rFonts w:ascii="Arial" w:cs="Arial" w:eastAsia="Arial" w:hAnsi="Arial"/>
          <w:sz w:val="22"/>
          <w:szCs w:val="22"/>
          <w:b w:val="1"/>
          <w:bCs w:val="1"/>
          <w:color w:val="auto"/>
        </w:rPr>
      </w:pPr>
    </w:p>
    <w:p>
      <w:pPr>
        <w:ind w:left="1680" w:hanging="808"/>
        <w:spacing w:after="0"/>
        <w:tabs>
          <w:tab w:leader="none" w:pos="168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to Loan Agreement.</w:t>
      </w:r>
    </w:p>
    <w:p>
      <w:pPr>
        <w:spacing w:after="0" w:line="166" w:lineRule="exact"/>
        <w:rPr>
          <w:sz w:val="20"/>
          <w:szCs w:val="20"/>
          <w:color w:val="auto"/>
        </w:rPr>
      </w:pPr>
    </w:p>
    <w:p>
      <w:pPr>
        <w:ind w:firstLine="1727"/>
        <w:spacing w:after="0" w:line="256" w:lineRule="auto"/>
        <w:rPr>
          <w:sz w:val="20"/>
          <w:szCs w:val="20"/>
          <w:color w:val="auto"/>
        </w:rPr>
      </w:pPr>
      <w:r>
        <w:rPr>
          <w:rFonts w:ascii="Arial" w:cs="Arial" w:eastAsia="Arial" w:hAnsi="Arial"/>
          <w:sz w:val="22"/>
          <w:szCs w:val="22"/>
          <w:b w:val="1"/>
          <w:bCs w:val="1"/>
          <w:color w:val="auto"/>
        </w:rPr>
        <w:t xml:space="preserve">2.1 Section 14 </w:t>
      </w:r>
      <w:r>
        <w:rPr>
          <w:rFonts w:ascii="Arial" w:cs="Arial" w:eastAsia="Arial" w:hAnsi="Arial"/>
          <w:sz w:val="22"/>
          <w:szCs w:val="22"/>
          <w:color w:val="auto"/>
        </w:rPr>
        <w:t>(</w:t>
      </w:r>
      <w:r>
        <w:rPr>
          <w:rFonts w:ascii="Arial" w:cs="Arial" w:eastAsia="Arial" w:hAnsi="Arial"/>
          <w:sz w:val="22"/>
          <w:szCs w:val="22"/>
          <w:b w:val="1"/>
          <w:bCs w:val="1"/>
          <w:color w:val="auto"/>
        </w:rPr>
        <w:t>Definitions</w:t>
      </w:r>
      <w:r>
        <w:rPr>
          <w:rFonts w:ascii="Arial" w:cs="Arial" w:eastAsia="Arial" w:hAnsi="Arial"/>
          <w:sz w:val="22"/>
          <w:szCs w:val="22"/>
          <w:color w:val="auto"/>
        </w:rPr>
        <w:t>). The following new terms and their respective definitions are inserted to</w:t>
      </w:r>
      <w:r>
        <w:rPr>
          <w:rFonts w:ascii="Arial" w:cs="Arial" w:eastAsia="Arial" w:hAnsi="Arial"/>
          <w:sz w:val="22"/>
          <w:szCs w:val="22"/>
          <w:b w:val="1"/>
          <w:bCs w:val="1"/>
          <w:color w:val="auto"/>
        </w:rPr>
        <w:t xml:space="preserve"> </w:t>
      </w:r>
      <w:r>
        <w:rPr>
          <w:rFonts w:ascii="Arial" w:cs="Arial" w:eastAsia="Arial" w:hAnsi="Arial"/>
          <w:sz w:val="22"/>
          <w:szCs w:val="22"/>
          <w:color w:val="auto"/>
        </w:rPr>
        <w:t>appear alphabetically in Section 14.1 thereof:</w:t>
      </w:r>
    </w:p>
    <w:p>
      <w:pPr>
        <w:spacing w:after="0" w:line="135" w:lineRule="exact"/>
        <w:rPr>
          <w:sz w:val="20"/>
          <w:szCs w:val="20"/>
          <w:color w:val="auto"/>
        </w:rPr>
      </w:pPr>
    </w:p>
    <w:p>
      <w:pPr>
        <w:ind w:left="1740" w:right="140"/>
        <w:spacing w:after="0" w:line="300" w:lineRule="auto"/>
        <w:rPr>
          <w:sz w:val="20"/>
          <w:szCs w:val="20"/>
          <w:color w:val="auto"/>
        </w:rPr>
      </w:pPr>
      <w:r>
        <w:rPr>
          <w:rFonts w:ascii="Arial" w:cs="Arial" w:eastAsia="Arial" w:hAnsi="Arial"/>
          <w:sz w:val="19"/>
          <w:szCs w:val="19"/>
          <w:color w:val="auto"/>
        </w:rPr>
        <w:t>“ “</w:t>
      </w:r>
      <w:r>
        <w:rPr>
          <w:rFonts w:ascii="Arial" w:cs="Arial" w:eastAsia="Arial" w:hAnsi="Arial"/>
          <w:sz w:val="19"/>
          <w:szCs w:val="19"/>
          <w:b w:val="1"/>
          <w:bCs w:val="1"/>
          <w:color w:val="auto"/>
        </w:rPr>
        <w:t>First Extension Event</w:t>
      </w:r>
      <w:r>
        <w:rPr>
          <w:rFonts w:ascii="Arial" w:cs="Arial" w:eastAsia="Arial" w:hAnsi="Arial"/>
          <w:sz w:val="19"/>
          <w:szCs w:val="19"/>
          <w:color w:val="auto"/>
        </w:rPr>
        <w:t>” means (a) Borrower has provided Agent, on or prior to June 1, 2021, with evidence reasonably satisfactory to Agent in Agent’s reasonable discretion that Borrower has received positive data with respect to Borrower’s phase 3 clinical trial for Vonoprazan in treatment of Helicobacter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ind w:left="1740"/>
        <w:spacing w:after="0"/>
        <w:rPr>
          <w:sz w:val="20"/>
          <w:szCs w:val="20"/>
          <w:color w:val="auto"/>
        </w:rPr>
      </w:pPr>
      <w:r>
        <w:rPr>
          <w:rFonts w:ascii="Arial" w:cs="Arial" w:eastAsia="Arial" w:hAnsi="Arial"/>
          <w:sz w:val="19"/>
          <w:szCs w:val="19"/>
          <w:color w:val="auto"/>
        </w:rPr>
        <w:t>Pylori Infection sufficient to file an NDA with the FDA and (b) the Term B Loan Advance has been made.”</w:t>
      </w:r>
    </w:p>
    <w:p>
      <w:pPr>
        <w:spacing w:after="0" w:line="194" w:lineRule="exact"/>
        <w:rPr>
          <w:sz w:val="20"/>
          <w:szCs w:val="20"/>
          <w:color w:val="auto"/>
        </w:rPr>
      </w:pPr>
    </w:p>
    <w:p>
      <w:pPr>
        <w:ind w:left="1740" w:right="40"/>
        <w:spacing w:after="0" w:line="237" w:lineRule="auto"/>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Second Extension Event</w:t>
      </w:r>
      <w:r>
        <w:rPr>
          <w:rFonts w:ascii="Arial" w:cs="Arial" w:eastAsia="Arial" w:hAnsi="Arial"/>
          <w:sz w:val="22"/>
          <w:szCs w:val="22"/>
          <w:color w:val="auto"/>
        </w:rPr>
        <w:t>” means (a) Borrower has provided Agent, on or prior to January 1, 2022, with evidence reasonably satisfactory to Agent in Agent’s reasonable discretion that Borrower has received positive data with respect to Borrower’s phase 3 clinical trial for Vonoprazan in treatment of both Helicobacter Pylori Infection and Erosive Esophagitis sufficient to file an NDA with the FDA and (b) the Term B Loan Advance has been made.”</w:t>
      </w:r>
    </w:p>
    <w:p>
      <w:pPr>
        <w:spacing w:after="0" w:line="155" w:lineRule="exact"/>
        <w:rPr>
          <w:sz w:val="20"/>
          <w:szCs w:val="20"/>
          <w:color w:val="auto"/>
        </w:rPr>
      </w:pPr>
    </w:p>
    <w:p>
      <w:pPr>
        <w:ind w:left="1740"/>
        <w:spacing w:after="0"/>
        <w:tabs>
          <w:tab w:leader="none" w:pos="26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 xml:space="preserve">Section 14 </w:t>
      </w:r>
      <w:r>
        <w:rPr>
          <w:rFonts w:ascii="Arial" w:cs="Arial" w:eastAsia="Arial" w:hAnsi="Arial"/>
          <w:sz w:val="19"/>
          <w:szCs w:val="19"/>
          <w:color w:val="auto"/>
        </w:rPr>
        <w:t>(</w:t>
      </w:r>
      <w:r>
        <w:rPr>
          <w:rFonts w:ascii="Arial" w:cs="Arial" w:eastAsia="Arial" w:hAnsi="Arial"/>
          <w:sz w:val="19"/>
          <w:szCs w:val="19"/>
          <w:b w:val="1"/>
          <w:bCs w:val="1"/>
          <w:color w:val="auto"/>
        </w:rPr>
        <w:t>Definitions</w:t>
      </w:r>
      <w:r>
        <w:rPr>
          <w:rFonts w:ascii="Arial" w:cs="Arial" w:eastAsia="Arial" w:hAnsi="Arial"/>
          <w:sz w:val="19"/>
          <w:szCs w:val="19"/>
          <w:color w:val="auto"/>
        </w:rPr>
        <w:t>). The following terms and their respective definitions set forth in Section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14.1 are amended in their entirety and replaced with the following:</w:t>
      </w:r>
    </w:p>
    <w:p>
      <w:pPr>
        <w:spacing w:after="0" w:line="142" w:lineRule="exact"/>
        <w:rPr>
          <w:sz w:val="20"/>
          <w:szCs w:val="20"/>
          <w:color w:val="auto"/>
        </w:rPr>
      </w:pPr>
    </w:p>
    <w:p>
      <w:pPr>
        <w:jc w:val="both"/>
        <w:ind w:left="1740"/>
        <w:spacing w:after="0" w:line="239" w:lineRule="auto"/>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Repayment Schedule</w:t>
      </w:r>
      <w:r>
        <w:rPr>
          <w:rFonts w:ascii="Arial" w:cs="Arial" w:eastAsia="Arial" w:hAnsi="Arial"/>
          <w:sz w:val="22"/>
          <w:szCs w:val="22"/>
          <w:color w:val="auto"/>
        </w:rPr>
        <w:t>” means the period of time equal to thirty-six (36) consecutive months, which shall be reduced to a period of time equal to twenty-nine (29) consecutive months upon the occurrence of the First Extension Event, and which shall be further reduced to a period of time equal to eighteen (18) calendar months upon the occurrence of the Second Extension Event.”</w:t>
      </w:r>
    </w:p>
    <w:p>
      <w:pPr>
        <w:spacing w:after="0" w:line="139" w:lineRule="exact"/>
        <w:rPr>
          <w:sz w:val="20"/>
          <w:szCs w:val="20"/>
          <w:color w:val="auto"/>
        </w:rPr>
      </w:pPr>
    </w:p>
    <w:p>
      <w:pPr>
        <w:jc w:val="both"/>
        <w:ind w:left="1740"/>
        <w:spacing w:after="0" w:line="243" w:lineRule="auto"/>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Term Loan Amortization Date</w:t>
      </w:r>
      <w:r>
        <w:rPr>
          <w:rFonts w:ascii="Arial" w:cs="Arial" w:eastAsia="Arial" w:hAnsi="Arial"/>
          <w:sz w:val="22"/>
          <w:szCs w:val="22"/>
          <w:color w:val="auto"/>
        </w:rPr>
        <w:t>” is June 1, 2021, which shall be extended to January 1, 2022 upon the occurrence of the First Extension Event, and which shall be further extended to December 1, 2022 upon the occurrence of the Second Extension Event.”</w:t>
      </w:r>
    </w:p>
    <w:p>
      <w:pPr>
        <w:spacing w:after="0" w:line="149" w:lineRule="exact"/>
        <w:rPr>
          <w:sz w:val="20"/>
          <w:szCs w:val="20"/>
          <w:color w:val="auto"/>
        </w:rPr>
      </w:pPr>
    </w:p>
    <w:p>
      <w:pPr>
        <w:ind w:left="1680" w:hanging="808"/>
        <w:spacing w:after="0"/>
        <w:tabs>
          <w:tab w:leader="none" w:pos="168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Amendments.</w:t>
      </w:r>
    </w:p>
    <w:p>
      <w:pPr>
        <w:spacing w:after="0" w:line="166" w:lineRule="exact"/>
        <w:rPr>
          <w:sz w:val="20"/>
          <w:szCs w:val="20"/>
          <w:color w:val="auto"/>
        </w:rPr>
      </w:pPr>
    </w:p>
    <w:p>
      <w:pPr>
        <w:jc w:val="both"/>
        <w:ind w:firstLine="1727"/>
        <w:spacing w:after="0" w:line="254" w:lineRule="auto"/>
        <w:rPr>
          <w:sz w:val="20"/>
          <w:szCs w:val="20"/>
          <w:color w:val="auto"/>
        </w:rPr>
      </w:pPr>
      <w:r>
        <w:rPr>
          <w:rFonts w:ascii="Arial" w:cs="Arial" w:eastAsia="Arial" w:hAnsi="Arial"/>
          <w:sz w:val="21"/>
          <w:szCs w:val="21"/>
          <w:b w:val="1"/>
          <w:bCs w:val="1"/>
          <w:color w:val="auto"/>
        </w:rPr>
        <w:t xml:space="preserve">3.1 </w:t>
      </w:r>
      <w:r>
        <w:rPr>
          <w:rFonts w:ascii="Arial" w:cs="Arial" w:eastAsia="Arial" w:hAnsi="Arial"/>
          <w:sz w:val="21"/>
          <w:szCs w:val="21"/>
          <w:color w:val="auto"/>
        </w:rPr>
        <w:t>The amendments set forth in Section 2 above are effective for the purposes set forth herein and</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limited precisely as written and shall not be deemed to (a) be a consent to any amendment, waiver or modification of any other term or condition of any Loan Document, or (b) otherwise prejudice any right or remedy which Agent or the Lenders may now have or may have in the future under or in connection with any Loan Document.</w:t>
      </w:r>
    </w:p>
    <w:p>
      <w:pPr>
        <w:spacing w:after="0" w:line="125"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This Amendment shall be construed in connection with and as part of the Loan Documents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terms, conditions, representations, warranties, covenants and agreements set forth in the Loan Documents, except as herein amended, are hereby ratified and confirmed and shall remain in full force and effect.</w:t>
      </w:r>
    </w:p>
    <w:p>
      <w:pPr>
        <w:spacing w:after="0" w:line="150" w:lineRule="exact"/>
        <w:rPr>
          <w:sz w:val="20"/>
          <w:szCs w:val="20"/>
          <w:color w:val="auto"/>
        </w:rPr>
      </w:pPr>
    </w:p>
    <w:p>
      <w:pPr>
        <w:ind w:right="20" w:firstLine="872"/>
        <w:spacing w:after="0" w:line="256" w:lineRule="auto"/>
        <w:tabs>
          <w:tab w:leader="none" w:pos="1674"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auto"/>
        </w:rPr>
        <w:t>To induce Agent and the Lenders to enter into this Amendment, Borrower</w:t>
      </w:r>
      <w:r>
        <w:rPr>
          <w:rFonts w:ascii="Arial" w:cs="Arial" w:eastAsia="Arial" w:hAnsi="Arial"/>
          <w:sz w:val="22"/>
          <w:szCs w:val="22"/>
          <w:b w:val="1"/>
          <w:bCs w:val="1"/>
          <w:color w:val="auto"/>
        </w:rPr>
        <w:t xml:space="preserve"> </w:t>
      </w:r>
      <w:r>
        <w:rPr>
          <w:rFonts w:ascii="Arial" w:cs="Arial" w:eastAsia="Arial" w:hAnsi="Arial"/>
          <w:sz w:val="22"/>
          <w:szCs w:val="22"/>
          <w:color w:val="auto"/>
        </w:rPr>
        <w:t>hereby represents and warrants to Agent and the Lenders as follows:</w:t>
      </w:r>
    </w:p>
    <w:p>
      <w:pPr>
        <w:spacing w:after="0" w:line="12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color w:val="auto"/>
        </w:rPr>
        <w:t>Immediately after giving effect to this Amendment (a) the representations and warranties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40" w:lineRule="exact"/>
        <w:rPr>
          <w:sz w:val="20"/>
          <w:szCs w:val="20"/>
          <w:color w:val="auto"/>
        </w:rPr>
      </w:pPr>
    </w:p>
    <w:p>
      <w:pPr>
        <w:jc w:val="both"/>
        <w:ind w:right="20" w:firstLine="1727"/>
        <w:spacing w:after="0" w:line="256"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color w:val="auto"/>
        </w:rPr>
        <w:t>Borrower has the power and authority to execute and deliver this Amendment and to perform its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under the Loan Agreement,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4" w:name="page45"/>
    <w:bookmarkEnd w:id="44"/>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4.3 </w:t>
      </w:r>
      <w:r>
        <w:rPr>
          <w:rFonts w:ascii="Arial" w:cs="Arial" w:eastAsia="Arial" w:hAnsi="Arial"/>
          <w:sz w:val="22"/>
          <w:szCs w:val="22"/>
          <w:color w:val="auto"/>
        </w:rPr>
        <w:t>The organizational documents of Borrower delivered to Agent on or prior to the date hereof remain</w:t>
      </w:r>
      <w:r>
        <w:rPr>
          <w:rFonts w:ascii="Arial" w:cs="Arial" w:eastAsia="Arial" w:hAnsi="Arial"/>
          <w:sz w:val="22"/>
          <w:szCs w:val="22"/>
          <w:b w:val="1"/>
          <w:bCs w:val="1"/>
          <w:color w:val="auto"/>
        </w:rPr>
        <w:t xml:space="preserve"> </w:t>
      </w:r>
      <w:r>
        <w:rPr>
          <w:rFonts w:ascii="Arial" w:cs="Arial" w:eastAsia="Arial" w:hAnsi="Arial"/>
          <w:sz w:val="22"/>
          <w:szCs w:val="22"/>
          <w:color w:val="auto"/>
        </w:rPr>
        <w:t>true, accurate and complete and have not been amended, supplemented or restated and are and continue to be in full force and effect;</w:t>
      </w:r>
    </w:p>
    <w:p>
      <w:pPr>
        <w:spacing w:after="0" w:line="136"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color w:val="auto"/>
        </w:rPr>
        <w:t>The execution and delivery by Borrower of this Amendment and the performance by Borrower of</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under the Loan Agreement, as amended by this Amendment, have been duly authorized;</w:t>
      </w:r>
    </w:p>
    <w:p>
      <w:pPr>
        <w:spacing w:after="0" w:line="135"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22"/>
          <w:szCs w:val="22"/>
          <w:color w:val="auto"/>
        </w:rPr>
        <w:t>The execution and delivery by Borrower of this Amendment and the performance by Borrower of</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under the Loan Agreement, as amended by this Amendment, do not and will not contravene (a) any material Requirement of Law, (b) any material agreement with a Person binding on Borrower, (c) any applicable material order, judgment or decree of any court or other governmental or public body or authority, or subdivision thereof, binding on Borrower, or (d) the organizational documents of Borrower;</w:t>
      </w:r>
    </w:p>
    <w:p>
      <w:pPr>
        <w:spacing w:after="0" w:line="141"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 xml:space="preserve">4.6 </w:t>
      </w:r>
      <w:r>
        <w:rPr>
          <w:rFonts w:ascii="Arial" w:cs="Arial" w:eastAsia="Arial" w:hAnsi="Arial"/>
          <w:sz w:val="22"/>
          <w:szCs w:val="22"/>
          <w:color w:val="auto"/>
        </w:rPr>
        <w:t>The execution and delivery by Borrower of this Amendment and the performance by Borrower of</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(or are being obtained pursuant to Section 6.1(b) of the Loan Agreement); and</w:t>
      </w:r>
    </w:p>
    <w:p>
      <w:pPr>
        <w:spacing w:after="0" w:line="141"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4.7 </w:t>
      </w:r>
      <w:r>
        <w:rPr>
          <w:rFonts w:ascii="Arial" w:cs="Arial" w:eastAsia="Arial" w:hAnsi="Arial"/>
          <w:sz w:val="22"/>
          <w:szCs w:val="22"/>
          <w:color w:val="auto"/>
        </w:rPr>
        <w:t>This Amendment has been duly executed and delivered by Borrower and is the binding obligation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53" w:lineRule="exact"/>
        <w:rPr>
          <w:sz w:val="20"/>
          <w:szCs w:val="20"/>
          <w:color w:val="auto"/>
        </w:rPr>
      </w:pPr>
    </w:p>
    <w:p>
      <w:pPr>
        <w:ind w:left="1680" w:hanging="808"/>
        <w:spacing w:after="0"/>
        <w:tabs>
          <w:tab w:leader="none" w:pos="168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[Reserved</w:t>
      </w:r>
      <w:r>
        <w:rPr>
          <w:rFonts w:ascii="Arial" w:cs="Arial" w:eastAsia="Arial" w:hAnsi="Arial"/>
          <w:sz w:val="22"/>
          <w:szCs w:val="22"/>
          <w:color w:val="auto"/>
        </w:rPr>
        <w:t>.]</w:t>
      </w:r>
    </w:p>
    <w:p>
      <w:pPr>
        <w:spacing w:after="0" w:line="165" w:lineRule="exact"/>
        <w:rPr>
          <w:rFonts w:ascii="Arial" w:cs="Arial" w:eastAsia="Arial" w:hAnsi="Arial"/>
          <w:sz w:val="22"/>
          <w:szCs w:val="22"/>
          <w:b w:val="1"/>
          <w:bCs w:val="1"/>
          <w:color w:val="auto"/>
        </w:rPr>
      </w:pPr>
    </w:p>
    <w:p>
      <w:pPr>
        <w:jc w:val="both"/>
        <w:ind w:firstLine="872"/>
        <w:spacing w:after="0" w:line="239" w:lineRule="auto"/>
        <w:tabs>
          <w:tab w:leader="none" w:pos="1674"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Amendment and the Loan Documents represent the entire agreement about this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39" w:lineRule="exact"/>
        <w:rPr>
          <w:rFonts w:ascii="Arial" w:cs="Arial" w:eastAsia="Arial" w:hAnsi="Arial"/>
          <w:sz w:val="22"/>
          <w:szCs w:val="22"/>
          <w:b w:val="1"/>
          <w:bCs w:val="1"/>
          <w:color w:val="auto"/>
        </w:rPr>
      </w:pPr>
    </w:p>
    <w:p>
      <w:pPr>
        <w:ind w:firstLine="872"/>
        <w:spacing w:after="0" w:line="256" w:lineRule="auto"/>
        <w:tabs>
          <w:tab w:leader="none" w:pos="1674"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Amendment may be executed in any number of counterparts and all of such 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taken together shall be deemed to constitute one and the same instrument.</w:t>
      </w:r>
    </w:p>
    <w:p>
      <w:pPr>
        <w:spacing w:after="0" w:line="135" w:lineRule="exact"/>
        <w:rPr>
          <w:rFonts w:ascii="Arial" w:cs="Arial" w:eastAsia="Arial" w:hAnsi="Arial"/>
          <w:sz w:val="22"/>
          <w:szCs w:val="22"/>
          <w:b w:val="1"/>
          <w:bCs w:val="1"/>
          <w:color w:val="auto"/>
        </w:rPr>
      </w:pPr>
    </w:p>
    <w:p>
      <w:pPr>
        <w:jc w:val="both"/>
        <w:ind w:firstLine="872"/>
        <w:spacing w:after="0" w:line="243" w:lineRule="auto"/>
        <w:tabs>
          <w:tab w:leader="none" w:pos="1674"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Effectiveness</w:t>
      </w:r>
      <w:r>
        <w:rPr>
          <w:rFonts w:ascii="Arial" w:cs="Arial" w:eastAsia="Arial" w:hAnsi="Arial"/>
          <w:sz w:val="22"/>
          <w:szCs w:val="22"/>
          <w:color w:val="auto"/>
        </w:rPr>
        <w:t>. This Amendment shall be deemed effective upon (a) the due execution and delivery to Agent</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Amendment by each party hereto and (b) Borrower’s payment to Agent of Agent’s and the Lenders’ reasonable legal fees and expenses incurred in connection with this Amendment.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ind w:right="20" w:firstLine="864"/>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have caused this Amendment to be duly executed and delivered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first written above.</w:t>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PHATHOM PHARMACEUTICALS, INC.</w:t>
      </w:r>
    </w:p>
    <w:p>
      <w:pPr>
        <w:spacing w:after="0" w:line="206"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Socks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6985</wp:posOffset>
            </wp:positionV>
            <wp:extent cx="29317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DAVID SOCKS</w:t>
            </w:r>
          </w:p>
        </w:tc>
        <w:tc>
          <w:tcPr>
            <w:tcW w:w="6180" w:type="dxa"/>
            <w:vAlign w:val="bottom"/>
          </w:tcPr>
          <w:p>
            <w:pPr>
              <w:spacing w:after="0"/>
              <w:rPr>
                <w:sz w:val="22"/>
                <w:szCs w:val="22"/>
                <w:color w:val="auto"/>
              </w:rPr>
            </w:pPr>
          </w:p>
        </w:tc>
      </w:tr>
      <w:tr>
        <w:trPr>
          <w:trHeight w:val="453"/>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103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CHIEF FINANCIAL OFFICER, PRESIDENT, SECRETARY AND TREASURER</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 as Agent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6985</wp:posOffset>
            </wp:positionV>
            <wp:extent cx="29317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6985</wp:posOffset>
            </wp:positionV>
            <wp:extent cx="29317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WESTRIVER INNOVATION LENDING FUND VIII, L.P.</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6985</wp:posOffset>
            </wp:positionV>
            <wp:extent cx="29317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2648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367030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ind w:firstLine="864"/>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have caused this Amendment to be duly executed and delivered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first written above.</w:t>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PHATHOM PHARMACEUTICALS,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6985</wp:posOffset>
            </wp:positionV>
            <wp:extent cx="29317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65747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 as Agent</w:t>
      </w:r>
    </w:p>
    <w:p>
      <w:pPr>
        <w:spacing w:after="0" w:line="206"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Anthony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6985</wp:posOffset>
            </wp:positionV>
            <wp:extent cx="29317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Name:</w:t>
        <w:tab/>
        <w:t>Anthony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w:t>
      </w:r>
    </w:p>
    <w:p>
      <w:pPr>
        <w:spacing w:after="0" w:line="206"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Anthony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6985</wp:posOffset>
            </wp:positionV>
            <wp:extent cx="29317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Name:</w:t>
        <w:tab/>
        <w:t>Anthony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WESTRIVER INNOVATION LENDING FUND VIII, L.P.</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6985</wp:posOffset>
            </wp:positionV>
            <wp:extent cx="29317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2648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367030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7" w:name="page48"/>
    <w:bookmarkEnd w:id="47"/>
    <w:p>
      <w:pPr>
        <w:ind w:firstLine="864"/>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have caused this Amendment to be duly executed and delivered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first written above.</w:t>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PHATHOM PHARMACEUTICALS,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6985</wp:posOffset>
            </wp:positionV>
            <wp:extent cx="29317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65747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 as Agent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6985</wp:posOffset>
            </wp:positionV>
            <wp:extent cx="29317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6985</wp:posOffset>
            </wp:positionV>
            <wp:extent cx="29317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WESTRIVER INNOVATION LENDING FUND VIII, L.P.</w:t>
      </w:r>
    </w:p>
    <w:p>
      <w:pPr>
        <w:spacing w:after="0" w:line="200" w:lineRule="exact"/>
        <w:rPr>
          <w:sz w:val="20"/>
          <w:szCs w:val="20"/>
          <w:color w:val="auto"/>
        </w:rPr>
      </w:pPr>
    </w:p>
    <w:p>
      <w:pPr>
        <w:spacing w:after="0" w:line="222"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Trent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6985</wp:posOffset>
            </wp:positionV>
            <wp:extent cx="29317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Name:</w:t>
        <w:tab/>
        <w:t>Trent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26485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8" w:name="page49"/>
    <w:bookmarkEnd w:id="48"/>
    <w:p>
      <w:pPr>
        <w:ind w:left="10260"/>
        <w:spacing w:after="0"/>
        <w:rPr>
          <w:sz w:val="20"/>
          <w:szCs w:val="20"/>
          <w:color w:val="auto"/>
        </w:rPr>
      </w:pPr>
      <w:r>
        <w:rPr>
          <w:rFonts w:ascii="Arial" w:cs="Arial" w:eastAsia="Arial" w:hAnsi="Arial"/>
          <w:sz w:val="17"/>
          <w:szCs w:val="17"/>
          <w:b w:val="1"/>
          <w:bCs w:val="1"/>
          <w:color w:val="auto"/>
        </w:rPr>
        <w:t>Exhibit 31.1</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Terrie Curran, certify that:</w:t>
      </w:r>
    </w:p>
    <w:p>
      <w:pPr>
        <w:spacing w:after="0" w:line="252" w:lineRule="exact"/>
        <w:rPr>
          <w:sz w:val="20"/>
          <w:szCs w:val="20"/>
          <w:color w:val="auto"/>
        </w:rPr>
      </w:pPr>
    </w:p>
    <w:p>
      <w:pPr>
        <w:ind w:left="960" w:hanging="952"/>
        <w:spacing w:after="0"/>
        <w:tabs>
          <w:tab w:leader="none" w:pos="960"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I have reviewed this Quarterly Report on Form 10-Q of Phathom Pharmaceuticals, Inc.</w:t>
      </w:r>
    </w:p>
    <w:p>
      <w:pPr>
        <w:spacing w:after="0" w:line="238" w:lineRule="exact"/>
        <w:rPr>
          <w:rFonts w:ascii="Arial" w:cs="Arial" w:eastAsia="Arial" w:hAnsi="Arial"/>
          <w:sz w:val="18"/>
          <w:szCs w:val="18"/>
          <w:color w:val="010000"/>
        </w:rPr>
      </w:pPr>
    </w:p>
    <w:p>
      <w:pPr>
        <w:jc w:val="both"/>
        <w:ind w:left="960" w:right="100" w:hanging="952"/>
        <w:spacing w:after="0" w:line="263" w:lineRule="auto"/>
        <w:tabs>
          <w:tab w:leader="none" w:pos="960"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010000"/>
        </w:rPr>
      </w:pPr>
    </w:p>
    <w:p>
      <w:pPr>
        <w:ind w:left="960" w:right="60" w:hanging="952"/>
        <w:spacing w:after="0" w:line="308" w:lineRule="auto"/>
        <w:tabs>
          <w:tab w:leader="none" w:pos="960" w:val="left"/>
        </w:tabs>
        <w:numPr>
          <w:ilvl w:val="0"/>
          <w:numId w:val="18"/>
        </w:numPr>
        <w:rPr>
          <w:rFonts w:ascii="Arial" w:cs="Arial" w:eastAsia="Arial" w:hAnsi="Arial"/>
          <w:sz w:val="17"/>
          <w:szCs w:val="17"/>
          <w:color w:val="010000"/>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010000"/>
        </w:rPr>
      </w:pPr>
    </w:p>
    <w:p>
      <w:pPr>
        <w:ind w:left="960" w:right="40" w:hanging="952"/>
        <w:spacing w:after="0" w:line="277" w:lineRule="auto"/>
        <w:tabs>
          <w:tab w:leader="none" w:pos="960"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3" w:lineRule="exact"/>
        <w:rPr>
          <w:rFonts w:ascii="Arial" w:cs="Arial" w:eastAsia="Arial" w:hAnsi="Arial"/>
          <w:sz w:val="18"/>
          <w:szCs w:val="18"/>
          <w:color w:val="010000"/>
        </w:rPr>
      </w:pPr>
    </w:p>
    <w:p>
      <w:pPr>
        <w:ind w:left="1900" w:right="160" w:hanging="947"/>
        <w:spacing w:after="0" w:line="286" w:lineRule="auto"/>
        <w:tabs>
          <w:tab w:leader="none" w:pos="1900" w:val="left"/>
        </w:tabs>
        <w:numPr>
          <w:ilvl w:val="1"/>
          <w:numId w:val="18"/>
        </w:numPr>
        <w:rPr>
          <w:rFonts w:ascii="Arial" w:cs="Arial" w:eastAsia="Arial" w:hAnsi="Arial"/>
          <w:sz w:val="17"/>
          <w:szCs w:val="17"/>
          <w:color w:val="010000"/>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7"/>
          <w:szCs w:val="17"/>
          <w:color w:val="010000"/>
        </w:rPr>
      </w:pPr>
    </w:p>
    <w:p>
      <w:pPr>
        <w:ind w:left="1900" w:hanging="947"/>
        <w:spacing w:after="0"/>
        <w:tabs>
          <w:tab w:leader="none" w:pos="1900" w:val="left"/>
        </w:tabs>
        <w:numPr>
          <w:ilvl w:val="1"/>
          <w:numId w:val="18"/>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238" w:lineRule="exact"/>
        <w:rPr>
          <w:rFonts w:ascii="Arial" w:cs="Arial" w:eastAsia="Arial" w:hAnsi="Arial"/>
          <w:sz w:val="18"/>
          <w:szCs w:val="18"/>
          <w:color w:val="010000"/>
        </w:rPr>
      </w:pPr>
    </w:p>
    <w:p>
      <w:pPr>
        <w:ind w:left="1900" w:right="80" w:hanging="947"/>
        <w:spacing w:after="0" w:line="263" w:lineRule="auto"/>
        <w:tabs>
          <w:tab w:leader="none" w:pos="1900"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010000"/>
        </w:rPr>
      </w:pPr>
    </w:p>
    <w:p>
      <w:pPr>
        <w:ind w:left="1900" w:right="20" w:hanging="947"/>
        <w:spacing w:after="0" w:line="286" w:lineRule="auto"/>
        <w:tabs>
          <w:tab w:leader="none" w:pos="1900" w:val="left"/>
        </w:tabs>
        <w:numPr>
          <w:ilvl w:val="1"/>
          <w:numId w:val="18"/>
        </w:numPr>
        <w:rPr>
          <w:rFonts w:ascii="Arial" w:cs="Arial" w:eastAsia="Arial" w:hAnsi="Arial"/>
          <w:sz w:val="17"/>
          <w:szCs w:val="17"/>
          <w:color w:val="010000"/>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7"/>
          <w:szCs w:val="17"/>
          <w:color w:val="010000"/>
        </w:rPr>
      </w:pPr>
    </w:p>
    <w:p>
      <w:pPr>
        <w:ind w:left="960" w:right="180" w:hanging="952"/>
        <w:spacing w:after="0" w:line="342" w:lineRule="auto"/>
        <w:tabs>
          <w:tab w:leader="none" w:pos="960" w:val="left"/>
        </w:tabs>
        <w:numPr>
          <w:ilvl w:val="0"/>
          <w:numId w:val="18"/>
        </w:numPr>
        <w:rPr>
          <w:rFonts w:ascii="Arial" w:cs="Arial" w:eastAsia="Arial" w:hAnsi="Arial"/>
          <w:sz w:val="16"/>
          <w:szCs w:val="16"/>
          <w:color w:val="010000"/>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010000"/>
        </w:rPr>
      </w:pPr>
    </w:p>
    <w:p>
      <w:pPr>
        <w:ind w:left="1900" w:right="140" w:hanging="947"/>
        <w:spacing w:after="0" w:line="263" w:lineRule="auto"/>
        <w:tabs>
          <w:tab w:leader="none" w:pos="1900"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010000"/>
        </w:rPr>
      </w:pPr>
    </w:p>
    <w:p>
      <w:pPr>
        <w:ind w:left="1900" w:right="160" w:hanging="947"/>
        <w:spacing w:after="0" w:line="277" w:lineRule="auto"/>
        <w:tabs>
          <w:tab w:leader="none" w:pos="1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ind w:left="2520"/>
              <w:spacing w:after="0"/>
              <w:rPr>
                <w:sz w:val="20"/>
                <w:szCs w:val="20"/>
                <w:color w:val="auto"/>
              </w:rPr>
            </w:pPr>
            <w:r>
              <w:rPr>
                <w:rFonts w:ascii="Arial" w:cs="Arial" w:eastAsia="Arial" w:hAnsi="Arial"/>
                <w:sz w:val="18"/>
                <w:szCs w:val="18"/>
                <w:color w:val="auto"/>
              </w:rPr>
              <w:t>Date: May 12, 2020</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Terrie Curran</w:t>
            </w:r>
          </w:p>
        </w:tc>
        <w:tc>
          <w:tcPr>
            <w:tcW w:w="2540" w:type="dxa"/>
            <w:vAlign w:val="bottom"/>
          </w:tcPr>
          <w:p>
            <w:pPr>
              <w:spacing w:after="0"/>
              <w:rPr>
                <w:sz w:val="20"/>
                <w:szCs w:val="20"/>
                <w:color w:val="auto"/>
              </w:rPr>
            </w:pPr>
          </w:p>
        </w:tc>
      </w:tr>
      <w:tr>
        <w:trPr>
          <w:trHeight w:val="195"/>
        </w:trPr>
        <w:tc>
          <w:tcPr>
            <w:tcW w:w="5560" w:type="dxa"/>
            <w:vAlign w:val="bottom"/>
          </w:tcPr>
          <w:p>
            <w:pPr>
              <w:spacing w:after="0"/>
              <w:rPr>
                <w:sz w:val="16"/>
                <w:szCs w:val="16"/>
                <w:color w:val="auto"/>
              </w:rPr>
            </w:pPr>
          </w:p>
        </w:tc>
        <w:tc>
          <w:tcPr>
            <w:tcW w:w="3160" w:type="dxa"/>
            <w:vAlign w:val="bottom"/>
          </w:tcPr>
          <w:p>
            <w:pPr>
              <w:ind w:left="20"/>
              <w:spacing w:after="0" w:line="195" w:lineRule="exact"/>
              <w:rPr>
                <w:sz w:val="20"/>
                <w:szCs w:val="20"/>
                <w:color w:val="auto"/>
              </w:rPr>
            </w:pPr>
            <w:r>
              <w:rPr>
                <w:rFonts w:ascii="Arial" w:cs="Arial" w:eastAsia="Arial" w:hAnsi="Arial"/>
                <w:sz w:val="18"/>
                <w:szCs w:val="18"/>
                <w:color w:val="auto"/>
              </w:rPr>
              <w:t>Terrie Curran</w:t>
            </w:r>
          </w:p>
        </w:tc>
        <w:tc>
          <w:tcPr>
            <w:tcW w:w="2540" w:type="dxa"/>
            <w:vAlign w:val="bottom"/>
          </w:tcPr>
          <w:p>
            <w:pPr>
              <w:spacing w:after="0"/>
              <w:rPr>
                <w:sz w:val="16"/>
                <w:szCs w:val="16"/>
                <w:color w:val="auto"/>
              </w:rPr>
            </w:pPr>
          </w:p>
        </w:tc>
      </w:tr>
      <w:tr>
        <w:trPr>
          <w:trHeight w:val="216"/>
        </w:trPr>
        <w:tc>
          <w:tcPr>
            <w:tcW w:w="556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c>
          <w:tcPr>
            <w:tcW w:w="2540" w:type="dxa"/>
            <w:vAlign w:val="bottom"/>
          </w:tcPr>
          <w:p>
            <w:pPr>
              <w:spacing w:after="0"/>
              <w:rPr>
                <w:sz w:val="18"/>
                <w:szCs w:val="18"/>
                <w:color w:val="auto"/>
              </w:rPr>
            </w:pPr>
          </w:p>
        </w:tc>
      </w:tr>
      <w:tr>
        <w:trPr>
          <w:trHeight w:val="230"/>
        </w:trPr>
        <w:tc>
          <w:tcPr>
            <w:tcW w:w="5560" w:type="dxa"/>
            <w:vAlign w:val="bottom"/>
          </w:tcPr>
          <w:p>
            <w:pPr>
              <w:spacing w:after="0"/>
              <w:rPr>
                <w:sz w:val="20"/>
                <w:szCs w:val="20"/>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540" w:type="dxa"/>
            <w:vAlign w:val="bottom"/>
          </w:tcPr>
          <w:p>
            <w:pPr>
              <w:spacing w:after="0"/>
              <w:rPr>
                <w:sz w:val="20"/>
                <w:szCs w:val="20"/>
                <w:color w:val="auto"/>
              </w:rPr>
            </w:pPr>
          </w:p>
        </w:tc>
      </w:tr>
      <w:tr>
        <w:trPr>
          <w:trHeight w:val="128"/>
        </w:trPr>
        <w:tc>
          <w:tcPr>
            <w:tcW w:w="5560" w:type="dxa"/>
            <w:vAlign w:val="bottom"/>
            <w:tcBorders>
              <w:bottom w:val="single" w:sz="8" w:color="9A9A9A"/>
            </w:tcBorders>
          </w:tcPr>
          <w:p>
            <w:pPr>
              <w:spacing w:after="0"/>
              <w:rPr>
                <w:sz w:val="11"/>
                <w:szCs w:val="11"/>
                <w:color w:val="auto"/>
              </w:rPr>
            </w:pPr>
          </w:p>
        </w:tc>
        <w:tc>
          <w:tcPr>
            <w:tcW w:w="3160" w:type="dxa"/>
            <w:vAlign w:val="bottom"/>
            <w:tcBorders>
              <w:bottom w:val="single" w:sz="8" w:color="9A9A9A"/>
            </w:tcBorders>
          </w:tcPr>
          <w:p>
            <w:pPr>
              <w:spacing w:after="0"/>
              <w:rPr>
                <w:sz w:val="11"/>
                <w:szCs w:val="11"/>
                <w:color w:val="auto"/>
              </w:rPr>
            </w:pPr>
          </w:p>
        </w:tc>
        <w:tc>
          <w:tcPr>
            <w:tcW w:w="25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ind w:left="10260"/>
        <w:spacing w:after="0"/>
        <w:rPr>
          <w:sz w:val="20"/>
          <w:szCs w:val="20"/>
          <w:color w:val="auto"/>
        </w:rPr>
      </w:pPr>
      <w:r>
        <w:rPr>
          <w:rFonts w:ascii="Arial" w:cs="Arial" w:eastAsia="Arial" w:hAnsi="Arial"/>
          <w:sz w:val="17"/>
          <w:szCs w:val="17"/>
          <w:b w:val="1"/>
          <w:bCs w:val="1"/>
          <w:color w:val="auto"/>
        </w:rPr>
        <w:t>Exhibit 31.2</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Socks, certify that:</w:t>
      </w:r>
    </w:p>
    <w:p>
      <w:pPr>
        <w:spacing w:after="0" w:line="252" w:lineRule="exact"/>
        <w:rPr>
          <w:sz w:val="20"/>
          <w:szCs w:val="20"/>
          <w:color w:val="auto"/>
        </w:rPr>
      </w:pPr>
    </w:p>
    <w:p>
      <w:pPr>
        <w:ind w:left="960" w:hanging="952"/>
        <w:spacing w:after="0"/>
        <w:tabs>
          <w:tab w:leader="none" w:pos="96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I have reviewed this Quarterly Report on Form 10-Q of Phathom Pharmaceuticals, Inc.</w:t>
      </w:r>
    </w:p>
    <w:p>
      <w:pPr>
        <w:spacing w:after="0" w:line="238" w:lineRule="exact"/>
        <w:rPr>
          <w:rFonts w:ascii="Arial" w:cs="Arial" w:eastAsia="Arial" w:hAnsi="Arial"/>
          <w:sz w:val="18"/>
          <w:szCs w:val="18"/>
          <w:color w:val="010000"/>
        </w:rPr>
      </w:pPr>
    </w:p>
    <w:p>
      <w:pPr>
        <w:jc w:val="both"/>
        <w:ind w:left="960" w:right="80" w:hanging="952"/>
        <w:spacing w:after="0" w:line="263" w:lineRule="auto"/>
        <w:tabs>
          <w:tab w:leader="none" w:pos="96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010000"/>
        </w:rPr>
      </w:pPr>
    </w:p>
    <w:p>
      <w:pPr>
        <w:ind w:left="960" w:right="40" w:hanging="952"/>
        <w:spacing w:after="0" w:line="308" w:lineRule="auto"/>
        <w:tabs>
          <w:tab w:leader="none" w:pos="960" w:val="left"/>
        </w:tabs>
        <w:numPr>
          <w:ilvl w:val="0"/>
          <w:numId w:val="19"/>
        </w:numPr>
        <w:rPr>
          <w:rFonts w:ascii="Arial" w:cs="Arial" w:eastAsia="Arial" w:hAnsi="Arial"/>
          <w:sz w:val="17"/>
          <w:szCs w:val="17"/>
          <w:color w:val="010000"/>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010000"/>
        </w:rPr>
      </w:pPr>
    </w:p>
    <w:p>
      <w:pPr>
        <w:ind w:left="960" w:right="20" w:hanging="952"/>
        <w:spacing w:after="0" w:line="277" w:lineRule="auto"/>
        <w:tabs>
          <w:tab w:leader="none" w:pos="96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3" w:lineRule="exact"/>
        <w:rPr>
          <w:rFonts w:ascii="Arial" w:cs="Arial" w:eastAsia="Arial" w:hAnsi="Arial"/>
          <w:sz w:val="18"/>
          <w:szCs w:val="18"/>
          <w:color w:val="010000"/>
        </w:rPr>
      </w:pPr>
    </w:p>
    <w:p>
      <w:pPr>
        <w:ind w:left="1900" w:right="140" w:hanging="947"/>
        <w:spacing w:after="0" w:line="286" w:lineRule="auto"/>
        <w:tabs>
          <w:tab w:leader="none" w:pos="1900" w:val="left"/>
        </w:tabs>
        <w:numPr>
          <w:ilvl w:val="1"/>
          <w:numId w:val="19"/>
        </w:numPr>
        <w:rPr>
          <w:rFonts w:ascii="Arial" w:cs="Arial" w:eastAsia="Arial" w:hAnsi="Arial"/>
          <w:sz w:val="17"/>
          <w:szCs w:val="17"/>
          <w:color w:val="010000"/>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7"/>
          <w:szCs w:val="17"/>
          <w:color w:val="010000"/>
        </w:rPr>
      </w:pPr>
    </w:p>
    <w:p>
      <w:pPr>
        <w:ind w:left="1900" w:hanging="947"/>
        <w:spacing w:after="0"/>
        <w:tabs>
          <w:tab w:leader="none" w:pos="1900" w:val="left"/>
        </w:tabs>
        <w:numPr>
          <w:ilvl w:val="1"/>
          <w:numId w:val="19"/>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238" w:lineRule="exact"/>
        <w:rPr>
          <w:rFonts w:ascii="Arial" w:cs="Arial" w:eastAsia="Arial" w:hAnsi="Arial"/>
          <w:sz w:val="18"/>
          <w:szCs w:val="18"/>
          <w:color w:val="010000"/>
        </w:rPr>
      </w:pPr>
    </w:p>
    <w:p>
      <w:pPr>
        <w:ind w:left="1900" w:right="60" w:hanging="947"/>
        <w:spacing w:after="0" w:line="263" w:lineRule="auto"/>
        <w:tabs>
          <w:tab w:leader="none" w:pos="1900"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010000"/>
        </w:rPr>
      </w:pPr>
    </w:p>
    <w:p>
      <w:pPr>
        <w:ind w:left="1900" w:hanging="947"/>
        <w:spacing w:after="0" w:line="286" w:lineRule="auto"/>
        <w:tabs>
          <w:tab w:leader="none" w:pos="1900" w:val="left"/>
        </w:tabs>
        <w:numPr>
          <w:ilvl w:val="1"/>
          <w:numId w:val="19"/>
        </w:numPr>
        <w:rPr>
          <w:rFonts w:ascii="Arial" w:cs="Arial" w:eastAsia="Arial" w:hAnsi="Arial"/>
          <w:sz w:val="17"/>
          <w:szCs w:val="17"/>
          <w:color w:val="010000"/>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7"/>
          <w:szCs w:val="17"/>
          <w:color w:val="010000"/>
        </w:rPr>
      </w:pPr>
    </w:p>
    <w:p>
      <w:pPr>
        <w:ind w:left="960" w:right="160" w:hanging="952"/>
        <w:spacing w:after="0" w:line="342" w:lineRule="auto"/>
        <w:tabs>
          <w:tab w:leader="none" w:pos="960" w:val="left"/>
        </w:tabs>
        <w:numPr>
          <w:ilvl w:val="0"/>
          <w:numId w:val="19"/>
        </w:numPr>
        <w:rPr>
          <w:rFonts w:ascii="Arial" w:cs="Arial" w:eastAsia="Arial" w:hAnsi="Arial"/>
          <w:sz w:val="16"/>
          <w:szCs w:val="16"/>
          <w:color w:val="010000"/>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010000"/>
        </w:rPr>
      </w:pPr>
    </w:p>
    <w:p>
      <w:pPr>
        <w:ind w:left="1900" w:right="120" w:hanging="947"/>
        <w:spacing w:after="0" w:line="263" w:lineRule="auto"/>
        <w:tabs>
          <w:tab w:leader="none" w:pos="1900"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010000"/>
        </w:rPr>
      </w:pPr>
    </w:p>
    <w:p>
      <w:pPr>
        <w:ind w:left="1900" w:right="140" w:hanging="947"/>
        <w:spacing w:after="0" w:line="277" w:lineRule="auto"/>
        <w:tabs>
          <w:tab w:leader="none" w:pos="1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2520"/>
        <w:spacing w:after="0"/>
        <w:tabs>
          <w:tab w:leader="none" w:pos="5540" w:val="left"/>
        </w:tabs>
        <w:rPr>
          <w:sz w:val="20"/>
          <w:szCs w:val="20"/>
          <w:color w:val="auto"/>
        </w:rPr>
      </w:pPr>
      <w:r>
        <w:rPr>
          <w:rFonts w:ascii="Arial" w:cs="Arial" w:eastAsia="Arial" w:hAnsi="Arial"/>
          <w:sz w:val="18"/>
          <w:szCs w:val="18"/>
          <w:color w:val="auto"/>
        </w:rPr>
        <w:t>Date: May 12, 2020</w:t>
      </w:r>
      <w:r>
        <w:rPr>
          <w:sz w:val="20"/>
          <w:szCs w:val="20"/>
          <w:color w:val="auto"/>
        </w:rPr>
        <w:tab/>
      </w:r>
      <w:r>
        <w:rPr>
          <w:rFonts w:ascii="Arial" w:cs="Arial" w:eastAsia="Arial" w:hAnsi="Arial"/>
          <w:sz w:val="16"/>
          <w:szCs w:val="16"/>
          <w:color w:val="auto"/>
        </w:rPr>
        <w:t>/s/ David Socks</w:t>
      </w:r>
    </w:p>
    <w:p>
      <w:pPr>
        <w:spacing w:after="0" w:line="5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David Socks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-130175</wp:posOffset>
            </wp:positionV>
            <wp:extent cx="20059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ind w:left="10260"/>
        <w:spacing w:after="0"/>
        <w:rPr>
          <w:sz w:val="20"/>
          <w:szCs w:val="20"/>
          <w:color w:val="auto"/>
        </w:rPr>
      </w:pPr>
      <w:r>
        <w:rPr>
          <w:rFonts w:ascii="Arial" w:cs="Arial" w:eastAsia="Arial" w:hAnsi="Arial"/>
          <w:sz w:val="17"/>
          <w:szCs w:val="17"/>
          <w:b w:val="1"/>
          <w:bCs w:val="1"/>
          <w:color w:val="auto"/>
        </w:rPr>
        <w:t>Exhibit 32.1</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firstLine="950"/>
        <w:spacing w:after="0" w:line="311" w:lineRule="auto"/>
        <w:rPr>
          <w:sz w:val="20"/>
          <w:szCs w:val="20"/>
          <w:color w:val="auto"/>
        </w:rPr>
      </w:pPr>
      <w:r>
        <w:rPr>
          <w:rFonts w:ascii="Arial" w:cs="Arial" w:eastAsia="Arial" w:hAnsi="Arial"/>
          <w:sz w:val="16"/>
          <w:szCs w:val="16"/>
          <w:color w:val="auto"/>
        </w:rPr>
        <w:t>In connection with the Quarterly Report on Form 10-Q of Phathom Pharmaceuticals, Inc. (the “Company”) for the quarter ended March 31, 2020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162" w:lineRule="exact"/>
        <w:rPr>
          <w:sz w:val="20"/>
          <w:szCs w:val="20"/>
          <w:color w:val="auto"/>
        </w:rPr>
      </w:pPr>
    </w:p>
    <w:p>
      <w:pPr>
        <w:ind w:left="960" w:right="60" w:hanging="952"/>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83" w:lineRule="exact"/>
        <w:rPr>
          <w:rFonts w:ascii="Arial" w:cs="Arial" w:eastAsia="Arial" w:hAnsi="Arial"/>
          <w:sz w:val="18"/>
          <w:szCs w:val="18"/>
          <w:color w:val="auto"/>
        </w:rPr>
      </w:pPr>
    </w:p>
    <w:p>
      <w:pPr>
        <w:ind w:left="960" w:right="660" w:hanging="952"/>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580"/>
        <w:spacing w:after="0"/>
        <w:tabs>
          <w:tab w:leader="none" w:pos="5480" w:val="left"/>
        </w:tabs>
        <w:rPr>
          <w:sz w:val="20"/>
          <w:szCs w:val="20"/>
          <w:color w:val="auto"/>
        </w:rPr>
      </w:pPr>
      <w:r>
        <w:rPr>
          <w:rFonts w:ascii="Arial" w:cs="Arial" w:eastAsia="Arial" w:hAnsi="Arial"/>
          <w:sz w:val="18"/>
          <w:szCs w:val="18"/>
          <w:color w:val="auto"/>
        </w:rPr>
        <w:t>Date: May 12, 2020</w:t>
      </w:r>
      <w:r>
        <w:rPr>
          <w:sz w:val="20"/>
          <w:szCs w:val="20"/>
          <w:color w:val="auto"/>
        </w:rPr>
        <w:tab/>
      </w:r>
      <w:r>
        <w:rPr>
          <w:rFonts w:ascii="Arial" w:cs="Arial" w:eastAsia="Arial" w:hAnsi="Arial"/>
          <w:sz w:val="16"/>
          <w:szCs w:val="16"/>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20142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Terrie Curran</w:t>
      </w:r>
    </w:p>
    <w:p>
      <w:pPr>
        <w:spacing w:after="0" w:line="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6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20"/>
          </w:cols>
          <w:pgMar w:left="320" w:top="121"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right="100" w:firstLine="950"/>
        <w:spacing w:after="0" w:line="311" w:lineRule="auto"/>
        <w:rPr>
          <w:sz w:val="20"/>
          <w:szCs w:val="20"/>
          <w:color w:val="auto"/>
        </w:rPr>
      </w:pPr>
      <w:r>
        <w:rPr>
          <w:rFonts w:ascii="Arial" w:cs="Arial" w:eastAsia="Arial" w:hAnsi="Arial"/>
          <w:sz w:val="16"/>
          <w:szCs w:val="16"/>
          <w:color w:val="auto"/>
        </w:rPr>
        <w:t>In connection with the Quarterly Report on Form 10-Q of Phathom Pharmaceuticals, Inc. (the “Company”) for the quarter ended March 31, 2020 as filed with the Securities and Exchange Commission on the date hereof (the “Report”), I, David Socks, as Chief Financial Officer of the Company, certify, pursuant to 18 U.S.C. Section 1350, as adopted pursuant to Section 906 of the Sarbanes-Oxley Act of 2002, to my knowledge, that:</w:t>
      </w:r>
    </w:p>
    <w:p>
      <w:pPr>
        <w:spacing w:after="0" w:line="162" w:lineRule="exact"/>
        <w:rPr>
          <w:sz w:val="20"/>
          <w:szCs w:val="20"/>
          <w:color w:val="auto"/>
        </w:rPr>
      </w:pPr>
    </w:p>
    <w:p>
      <w:pPr>
        <w:ind w:left="960" w:right="40" w:hanging="952"/>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83" w:lineRule="exact"/>
        <w:rPr>
          <w:rFonts w:ascii="Arial" w:cs="Arial" w:eastAsia="Arial" w:hAnsi="Arial"/>
          <w:sz w:val="18"/>
          <w:szCs w:val="18"/>
          <w:color w:val="auto"/>
        </w:rPr>
      </w:pPr>
    </w:p>
    <w:p>
      <w:pPr>
        <w:ind w:left="960" w:right="640" w:hanging="952"/>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580"/>
        <w:spacing w:after="0"/>
        <w:tabs>
          <w:tab w:leader="none" w:pos="5480" w:val="left"/>
        </w:tabs>
        <w:rPr>
          <w:sz w:val="20"/>
          <w:szCs w:val="20"/>
          <w:color w:val="auto"/>
        </w:rPr>
      </w:pPr>
      <w:r>
        <w:rPr>
          <w:rFonts w:ascii="Arial" w:cs="Arial" w:eastAsia="Arial" w:hAnsi="Arial"/>
          <w:sz w:val="18"/>
          <w:szCs w:val="18"/>
          <w:color w:val="auto"/>
        </w:rPr>
        <w:t>Date: May 12, 2020</w:t>
      </w:r>
      <w:r>
        <w:rPr>
          <w:sz w:val="20"/>
          <w:szCs w:val="20"/>
          <w:color w:val="auto"/>
        </w:rPr>
        <w:tab/>
      </w:r>
      <w:r>
        <w:rPr>
          <w:rFonts w:ascii="Arial" w:cs="Arial" w:eastAsia="Arial" w:hAnsi="Arial"/>
          <w:sz w:val="16"/>
          <w:szCs w:val="16"/>
          <w:color w:val="auto"/>
        </w:rPr>
        <w:t>/s/ David Socks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20142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Socks</w:t>
      </w:r>
    </w:p>
    <w:p>
      <w:pPr>
        <w:spacing w:after="0" w:line="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6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00"/>
      </w:cols>
      <w:pgMar w:left="32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Letter"/>
      <w:start w:val="1"/>
    </w:lvl>
    <w:lvl w:ilvl="1">
      <w:lvlJc w:val="left"/>
      <w:lvlText w:val="•"/>
      <w:numFmt w:val="bullet"/>
      <w:start w:val="1"/>
    </w:lvl>
  </w:abstractNum>
  <w:abstractNum w:abstractNumId="9">
    <w:nsid w:val="41A7C4C9"/>
    <w:multiLevelType w:val="hybridMultilevel"/>
    <w:lvl w:ilvl="0">
      <w:lvlJc w:val="left"/>
      <w:lvlText w:val="%1."/>
      <w:numFmt w:val="lowerLetter"/>
      <w:start w:val="2"/>
    </w:lvl>
    <w:lvl w:ilvl="1">
      <w:lvlJc w:val="left"/>
      <w:lvlText w:val="•"/>
      <w:numFmt w:val="bullet"/>
      <w:start w:val="1"/>
    </w:lvl>
  </w:abstractNum>
  <w:abstractNum w:abstractNumId="10">
    <w:nsid w:val="6B68079A"/>
    <w:multiLevelType w:val="hybridMultilevel"/>
    <w:lvl w:ilvl="0">
      <w:lvlJc w:val="left"/>
      <w:lvlText w:val="%1."/>
      <w:numFmt w:val="upperLetter"/>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ldblquote"/>
      <w:numFmt w:val="bullet"/>
      <w:start w:val="1"/>
    </w:lvl>
  </w:abstractNum>
  <w:abstractNum w:abstractNumId="13">
    <w:nsid w:val="519B500D"/>
    <w:multiLevelType w:val="hybridMultilevel"/>
    <w:lvl w:ilvl="0">
      <w:lvlJc w:val="left"/>
      <w:lvlText w:val="\ldblquote"/>
      <w:numFmt w:val="bullet"/>
      <w:start w:val="1"/>
    </w:lvl>
  </w:abstractNum>
  <w:abstractNum w:abstractNumId="14">
    <w:nsid w:val="431BD7B7"/>
    <w:multiLevelType w:val="hybridMultilevel"/>
    <w:lvl w:ilvl="0">
      <w:lvlJc w:val="left"/>
      <w:lvlText w:val="%1."/>
      <w:numFmt w:val="decimal"/>
      <w:start w:val="3"/>
    </w:lvl>
    <w:lvl w:ilvl="1">
      <w:lvlJc w:val="left"/>
      <w:lvlText w:val="\ldblquote"/>
      <w:numFmt w:val="bullet"/>
      <w:start w:val="1"/>
    </w:lvl>
  </w:abstractNum>
  <w:abstractNum w:abstractNumId="15">
    <w:nsid w:val="3F2DBA31"/>
    <w:multiLevelType w:val="hybridMultilevel"/>
    <w:lvl w:ilvl="0">
      <w:lvlJc w:val="left"/>
      <w:lvlText w:val="%1."/>
      <w:numFmt w:val="decimal"/>
      <w:start w:val="4"/>
    </w:lvl>
  </w:abstractNum>
  <w:abstractNum w:abstractNumId="16">
    <w:nsid w:val="7C83E458"/>
    <w:multiLevelType w:val="hybridMultilevel"/>
    <w:lvl w:ilvl="0">
      <w:lvlJc w:val="left"/>
      <w:lvlText w:val="%1."/>
      <w:numFmt w:val="decimal"/>
      <w:start w:val="5"/>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62" Type="http://schemas.openxmlformats.org/officeDocument/2006/relationships/hyperlink" Target="http://www.sec.gov/Archives/edgar/data/1783183/000119312519258922/d63338dex33.htm" TargetMode="External"/><Relationship Id="rId63" Type="http://schemas.openxmlformats.org/officeDocument/2006/relationships/hyperlink" Target="http://www.sec.gov/Archives/edgar/data/1783183/000119312519258922/d63338dex34.htm" TargetMode="External"/><Relationship Id="rId64" Type="http://schemas.openxmlformats.org/officeDocument/2006/relationships/hyperlink" Target="http://www.sec.gov/Archives/edgar/data/1783183/000119312519267053/d63338dex41.htm" TargetMode="External"/><Relationship Id="rId65" Type="http://schemas.openxmlformats.org/officeDocument/2006/relationships/hyperlink" Target="http://www.sec.gov/Archives/edgar/data/1783183/000119312519258922/d63338dex42.htm" TargetMode="External"/><Relationship Id="rId66" Type="http://schemas.openxmlformats.org/officeDocument/2006/relationships/hyperlink" Target="http://www.sec.gov/Archives/edgar/data/1783183/000119312519258922/d63338dex43.htm" TargetMode="External"/><Relationship Id="rId67" Type="http://schemas.openxmlformats.org/officeDocument/2006/relationships/hyperlink" Target="http://www.sec.gov/Archives/edgar/data/1783183/000119312519258922/d63338dex44.htm" TargetMode="External"/><Relationship Id="rId68" Type="http://schemas.openxmlformats.org/officeDocument/2006/relationships/hyperlink" Target="http://www.sec.gov/Archives/edgar/data/1783183/000119312519267053/d63338dex45.htm" TargetMode="External"/><Relationship Id="rId69" Type="http://schemas.openxmlformats.org/officeDocument/2006/relationships/hyperlink" Target="http://www.sec.gov/Archives/edgar/data/1783183/000156459020011712/phat-ex46_14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2020-05-12T10:00:42Z</dcterms:created>
  <dcterms:modified xsi:type="dcterms:W3CDTF">2020-05-12T10:00:42Z</dcterms:modified>
</cp:coreProperties>
</file>