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64770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96520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81" w:lineRule="exact"/>
        <w:rPr>
          <w:sz w:val="24"/>
          <w:szCs w:val="24"/>
          <w:color w:val="auto"/>
        </w:rPr>
      </w:pPr>
    </w:p>
    <w:p>
      <w:pPr>
        <w:ind w:left="520" w:right="40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580"/>
        <w:spacing w:after="0"/>
        <w:tabs>
          <w:tab w:leader="none" w:pos="678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-5080</wp:posOffset>
            </wp:positionV>
            <wp:extent cx="1181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-289560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tbl>
      <w:tblPr>
        <w:tblLayout w:type="fixed"/>
        <w:tblInd w:w="1460" w:type="dxa"/>
        <w:tblCellMar>
          <w:top w:w="0" w:type="dxa"/>
          <w:left w:w="0" w:type="dxa"/>
          <w:bottom w:w="0" w:type="dxa"/>
          <w:right w:w="0" w:type="dxa"/>
        </w:tblCellMar>
      </w:tblPr>
      <w:tr>
        <w:trPr>
          <w:trHeight w:val="214"/>
        </w:trPr>
        <w:tc>
          <w:tcPr>
            <w:tcW w:w="466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82-4151574</w:t>
            </w:r>
          </w:p>
        </w:tc>
      </w:tr>
      <w:tr>
        <w:trPr>
          <w:trHeight w:val="149"/>
        </w:trPr>
        <w:tc>
          <w:tcPr>
            <w:tcW w:w="4660" w:type="dxa"/>
            <w:vAlign w:val="bottom"/>
          </w:tcPr>
          <w:p>
            <w:pPr>
              <w:jc w:val="center"/>
              <w:ind w:right="1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6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66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2150 E. Lake Cook Road, Suite 800</w:t>
            </w:r>
          </w:p>
        </w:tc>
        <w:tc>
          <w:tcPr>
            <w:tcW w:w="3060" w:type="dxa"/>
            <w:vAlign w:val="bottom"/>
          </w:tcPr>
          <w:p>
            <w:pPr>
              <w:spacing w:after="0"/>
              <w:rPr>
                <w:sz w:val="24"/>
                <w:szCs w:val="24"/>
                <w:color w:val="auto"/>
              </w:rPr>
            </w:pPr>
          </w:p>
        </w:tc>
      </w:tr>
      <w:tr>
        <w:trPr>
          <w:trHeight w:val="214"/>
        </w:trPr>
        <w:tc>
          <w:tcPr>
            <w:tcW w:w="466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Buffalo Grove, Illinois</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60089</w:t>
            </w:r>
          </w:p>
        </w:tc>
      </w:tr>
      <w:tr>
        <w:trPr>
          <w:trHeight w:val="190"/>
        </w:trPr>
        <w:tc>
          <w:tcPr>
            <w:tcW w:w="466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325-5156</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216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23, 2019, the registrant had 24,526,537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545465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 w:name="page2"/>
    <w:bookmarkEnd w:id="1"/>
    <w:p>
      <w:pPr>
        <w:jc w:val="center"/>
        <w:ind w:left="44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52" w:lineRule="exact"/>
        <w:rPr>
          <w:sz w:val="20"/>
          <w:szCs w:val="20"/>
          <w:color w:val="auto"/>
        </w:rPr>
      </w:pPr>
    </w:p>
    <w:p>
      <w:pPr>
        <w:ind w:left="4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31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Combined Financial Statements (unaudited)</w:t>
              </w:r>
            </w:hyperlink>
          </w:p>
        </w:tc>
        <w:tc>
          <w:tcPr>
            <w:tcW w:w="5940" w:type="dxa"/>
            <w:vAlign w:val="bottom"/>
            <w:gridSpan w:val="11"/>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50"/>
        </w:trPr>
        <w:tc>
          <w:tcPr>
            <w:tcW w:w="1660" w:type="dxa"/>
            <w:vAlign w:val="bottom"/>
          </w:tcPr>
          <w:p>
            <w:pPr>
              <w:spacing w:after="0"/>
              <w:rPr>
                <w:sz w:val="21"/>
                <w:szCs w:val="21"/>
                <w:color w:val="auto"/>
              </w:rPr>
            </w:pPr>
          </w:p>
        </w:tc>
        <w:tc>
          <w:tcPr>
            <w:tcW w:w="912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Combined Balance Sheets as of September 30, 2019 and December 31, 2018</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1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660" w:type="dxa"/>
            <w:vAlign w:val="bottom"/>
          </w:tcPr>
          <w:p>
            <w:pPr>
              <w:spacing w:after="0"/>
              <w:rPr>
                <w:sz w:val="21"/>
                <w:szCs w:val="21"/>
                <w:color w:val="auto"/>
              </w:rPr>
            </w:pPr>
          </w:p>
        </w:tc>
        <w:tc>
          <w:tcPr>
            <w:tcW w:w="88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Combined Statements of Operations and Comprehensive Loss for the Three and Nine Months Ended September 30, 2019,</w:t>
              </w:r>
            </w:hyperlink>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1660" w:type="dxa"/>
            <w:vAlign w:val="bottom"/>
          </w:tcPr>
          <w:p>
            <w:pPr>
              <w:spacing w:after="0"/>
              <w:rPr>
                <w:sz w:val="17"/>
                <w:szCs w:val="17"/>
                <w:color w:val="auto"/>
              </w:rPr>
            </w:pPr>
          </w:p>
        </w:tc>
        <w:tc>
          <w:tcPr>
            <w:tcW w:w="912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for the Three and Nine Months Ended September 30, 2018</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660" w:type="dxa"/>
            <w:vAlign w:val="bottom"/>
          </w:tcPr>
          <w:p>
            <w:pPr>
              <w:spacing w:after="0"/>
              <w:rPr>
                <w:sz w:val="21"/>
                <w:szCs w:val="21"/>
                <w:color w:val="auto"/>
              </w:rPr>
            </w:pPr>
          </w:p>
        </w:tc>
        <w:tc>
          <w:tcPr>
            <w:tcW w:w="912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Combined Statements of Redeemable Convertible Preferred Stock and Stockholders’ Equity (Deficit) for the Nine</w:t>
              </w:r>
            </w:hyperlink>
          </w:p>
        </w:tc>
        <w:tc>
          <w:tcPr>
            <w:tcW w:w="580" w:type="dxa"/>
            <w:vAlign w:val="bottom"/>
          </w:tcPr>
          <w:p>
            <w:pPr>
              <w:spacing w:after="0"/>
              <w:rPr>
                <w:sz w:val="21"/>
                <w:szCs w:val="21"/>
                <w:color w:val="auto"/>
              </w:rPr>
            </w:pPr>
          </w:p>
        </w:tc>
      </w:tr>
      <w:tr>
        <w:trPr>
          <w:trHeight w:val="196"/>
        </w:trPr>
        <w:tc>
          <w:tcPr>
            <w:tcW w:w="1660" w:type="dxa"/>
            <w:vAlign w:val="bottom"/>
          </w:tcPr>
          <w:p>
            <w:pPr>
              <w:spacing w:after="0"/>
              <w:rPr>
                <w:sz w:val="17"/>
                <w:szCs w:val="17"/>
                <w:color w:val="auto"/>
              </w:rPr>
            </w:pPr>
          </w:p>
        </w:tc>
        <w:tc>
          <w:tcPr>
            <w:tcW w:w="82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Months ended September 30, 2019 and 2018</w:t>
              </w:r>
            </w:hyperlink>
          </w:p>
        </w:tc>
        <w:tc>
          <w:tcPr>
            <w:tcW w:w="9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660" w:type="dxa"/>
            <w:vAlign w:val="bottom"/>
          </w:tcPr>
          <w:p>
            <w:pPr>
              <w:spacing w:after="0"/>
              <w:rPr>
                <w:sz w:val="21"/>
                <w:szCs w:val="21"/>
                <w:color w:val="auto"/>
              </w:rPr>
            </w:pPr>
          </w:p>
        </w:tc>
        <w:tc>
          <w:tcPr>
            <w:tcW w:w="912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Combined Statements of Cash Flows for the Nine Months Ended September 30, 2019 and 2018</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50"/>
        </w:trPr>
        <w:tc>
          <w:tcPr>
            <w:tcW w:w="1660" w:type="dxa"/>
            <w:vAlign w:val="bottom"/>
          </w:tcPr>
          <w:p>
            <w:pPr>
              <w:spacing w:after="0"/>
              <w:rPr>
                <w:sz w:val="21"/>
                <w:szCs w:val="21"/>
                <w:color w:val="auto"/>
              </w:rPr>
            </w:pPr>
          </w:p>
        </w:tc>
        <w:tc>
          <w:tcPr>
            <w:tcW w:w="688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Unaudited Combined Financial Statements</w:t>
              </w:r>
            </w:hyperlink>
          </w:p>
        </w:tc>
        <w:tc>
          <w:tcPr>
            <w:tcW w:w="2240" w:type="dxa"/>
            <w:vAlign w:val="bottom"/>
            <w:gridSpan w:val="3"/>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1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660" w:type="dxa"/>
            <w:vAlign w:val="bottom"/>
            <w:gridSpan w:val="4"/>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Quantitative and Qualitative Disclosures About Market Risk</w:t>
              </w:r>
            </w:hyperlink>
          </w:p>
        </w:tc>
        <w:tc>
          <w:tcPr>
            <w:tcW w:w="476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Controls and Procedures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10780" w:type="dxa"/>
            <w:vAlign w:val="bottom"/>
            <w:gridSpan w:val="21"/>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PART II. OTHER INFORMATION</w:t>
              </w:r>
            </w:hyperlink>
          </w:p>
        </w:tc>
        <w:tc>
          <w:tcPr>
            <w:tcW w:w="580" w:type="dxa"/>
            <w:vAlign w:val="bottom"/>
          </w:tcPr>
          <w:p>
            <w:pPr>
              <w:spacing w:after="0"/>
              <w:rPr>
                <w:sz w:val="24"/>
                <w:szCs w:val="24"/>
                <w:color w:val="auto"/>
              </w:rPr>
            </w:pPr>
          </w:p>
        </w:tc>
      </w:tr>
      <w:tr>
        <w:trPr>
          <w:trHeight w:val="20"/>
        </w:trPr>
        <w:tc>
          <w:tcPr>
            <w:tcW w:w="1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2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Legal Proceedings</w:t>
              </w:r>
            </w:hyperlink>
          </w:p>
        </w:tc>
        <w:tc>
          <w:tcPr>
            <w:tcW w:w="778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0"/>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Risk Factors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6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0"/>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Defaults Upon Senior Securities</w:t>
              </w:r>
            </w:hyperlink>
          </w:p>
        </w:tc>
        <w:tc>
          <w:tcPr>
            <w:tcW w:w="4780" w:type="dxa"/>
            <w:vAlign w:val="bottom"/>
            <w:gridSpan w:val="7"/>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Mine Safety Disclosures</w:t>
              </w:r>
            </w:hyperlink>
          </w:p>
        </w:tc>
        <w:tc>
          <w:tcPr>
            <w:tcW w:w="6800" w:type="dxa"/>
            <w:vAlign w:val="bottom"/>
            <w:gridSpan w:val="12"/>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78">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21"/>
                <w:szCs w:val="21"/>
                <w:color w:val="auto"/>
              </w:rPr>
            </w:pPr>
          </w:p>
        </w:tc>
        <w:tc>
          <w:tcPr>
            <w:tcW w:w="7360" w:type="dxa"/>
            <w:vAlign w:val="bottom"/>
            <w:gridSpan w:val="13"/>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1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Exhibits</w:t>
              </w:r>
            </w:hyperlink>
          </w:p>
        </w:tc>
        <w:tc>
          <w:tcPr>
            <w:tcW w:w="8520" w:type="dxa"/>
            <w:vAlign w:val="bottom"/>
            <w:gridSpan w:val="19"/>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91"/>
        </w:trPr>
        <w:tc>
          <w:tcPr>
            <w:tcW w:w="1660" w:type="dxa"/>
            <w:vAlign w:val="bottom"/>
          </w:tcPr>
          <w:p>
            <w:pPr>
              <w:spacing w:after="0"/>
              <w:rPr>
                <w:sz w:val="24"/>
                <w:szCs w:val="24"/>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580" w:type="dxa"/>
            <w:vAlign w:val="bottom"/>
          </w:tcPr>
          <w:p>
            <w:pPr>
              <w:spacing w:after="0"/>
              <w:rPr>
                <w:sz w:val="24"/>
                <w:szCs w:val="24"/>
                <w:color w:val="auto"/>
              </w:rPr>
            </w:pPr>
          </w:p>
        </w:tc>
      </w:tr>
      <w:tr>
        <w:trPr>
          <w:trHeight w:val="230"/>
        </w:trPr>
        <w:tc>
          <w:tcPr>
            <w:tcW w:w="1660" w:type="dxa"/>
            <w:vAlign w:val="bottom"/>
          </w:tcPr>
          <w:p>
            <w:pPr>
              <w:spacing w:after="0"/>
              <w:rPr>
                <w:sz w:val="19"/>
                <w:szCs w:val="19"/>
                <w:color w:val="auto"/>
              </w:rPr>
            </w:pPr>
          </w:p>
        </w:tc>
        <w:tc>
          <w:tcPr>
            <w:tcW w:w="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Signatures</w:t>
              </w:r>
            </w:hyperlink>
          </w:p>
        </w:tc>
        <w:tc>
          <w:tcPr>
            <w:tcW w:w="8360" w:type="dxa"/>
            <w:vAlign w:val="bottom"/>
            <w:gridSpan w:val="18"/>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40" w:type="dxa"/>
            <w:vAlign w:val="bottom"/>
          </w:tcPr>
          <w:p>
            <w:pPr>
              <w:jc w:val="right"/>
              <w:ind w:right="5610"/>
              <w:spacing w:after="0"/>
              <w:rPr>
                <w:sz w:val="20"/>
                <w:szCs w:val="20"/>
                <w:color w:val="auto"/>
              </w:rPr>
            </w:pPr>
            <w:r>
              <w:rPr>
                <w:rFonts w:ascii="Times New Roman" w:cs="Times New Roman" w:eastAsia="Times New Roman" w:hAnsi="Times New Roman"/>
                <w:sz w:val="18"/>
                <w:szCs w:val="18"/>
                <w:color w:val="auto"/>
              </w:rPr>
              <w:t>2</w:t>
            </w:r>
          </w:p>
        </w:tc>
      </w:tr>
      <w:tr>
        <w:trPr>
          <w:trHeight w:val="331"/>
        </w:trPr>
        <w:tc>
          <w:tcPr>
            <w:tcW w:w="37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74,484</w:t>
            </w:r>
          </w:p>
        </w:tc>
        <w:tc>
          <w:tcPr>
            <w:tcW w:w="3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 (including related party amounts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of $36 and $19, respectively)</w:t>
            </w:r>
          </w:p>
        </w:tc>
        <w:tc>
          <w:tcPr>
            <w:tcW w:w="24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3,169</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77,653</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79,706</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FF0FC"/>
            </w:tcBorders>
            <w:shd w:val="clear" w:color="auto" w:fill="CFF0FC"/>
          </w:tcPr>
          <w:p>
            <w:pPr>
              <w:spacing w:after="0"/>
              <w:rPr>
                <w:sz w:val="18"/>
                <w:szCs w:val="18"/>
                <w:color w:val="auto"/>
              </w:rPr>
            </w:pPr>
          </w:p>
        </w:tc>
        <w:tc>
          <w:tcPr>
            <w:tcW w:w="24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(including related party amounts of $57 and $45,</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(including related party amounts of $176 and $2,</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2,120</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interest (including related party amounts of $483 and $13,</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Convertible promissory notes payable at fair value (including related party</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amounts of $21,103 and $1,950, respectively)</w:t>
            </w:r>
          </w:p>
        </w:tc>
        <w:tc>
          <w:tcPr>
            <w:tcW w:w="2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95,229</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liabilities (including related party amounts of ($106,925</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and $0, respectively)</w:t>
            </w:r>
          </w:p>
        </w:tc>
        <w:tc>
          <w:tcPr>
            <w:tcW w:w="24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107,373</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207,493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of discount</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22,611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2,063</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232,167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Common stock, $0.0001 par value; authorized shares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—50,000,000 at September 30, 2019 (unaudited); issued shares—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11,876,518 at September 30, 2019 (unaudited); outstanding shares—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7,420,989 at September 30, 2019 (unaudited);</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5,952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(158,413)</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(152,461)</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79,706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00" w:type="dxa"/>
            <w:vAlign w:val="bottom"/>
            <w:gridSpan w:val="3"/>
          </w:tcPr>
          <w:p>
            <w:pPr>
              <w:ind w:left="4780"/>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256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F-1</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420" w:type="dxa"/>
            <w:vAlign w:val="bottom"/>
            <w:gridSpan w:val="4"/>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 (includes related party amounts of $207,</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$0, $207 and $0, respectively)</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4,469</w:t>
            </w:r>
          </w:p>
        </w:tc>
        <w:tc>
          <w:tcPr>
            <w:tcW w:w="14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7,670</w:t>
            </w:r>
          </w:p>
        </w:tc>
        <w:tc>
          <w:tcPr>
            <w:tcW w:w="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78,897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 (includes related party amounts of $156,</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$72, $174 and $196, respectively)</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1,813</w:t>
            </w:r>
          </w:p>
        </w:tc>
        <w:tc>
          <w:tcPr>
            <w:tcW w:w="1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3,955</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6,282</w:t>
            </w:r>
          </w:p>
        </w:tc>
        <w:tc>
          <w:tcPr>
            <w:tcW w:w="1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90,522</w:t>
            </w: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(90,522)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Interest expense (includes related party amounts of $(302), $(4),</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$(498) and $(8), respectively)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liabilities (includes related party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of $(57,754), ($0), ($59,031) and ($0), respectively)</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Change in fair value of convertible promissory notes (includes related</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party amounts of $(732), $(18), $(1,053) and $(22), respectively)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(61,830)</w:t>
            </w:r>
          </w:p>
        </w:tc>
        <w:tc>
          <w:tcPr>
            <w:tcW w:w="1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(66,603)</w:t>
            </w:r>
          </w:p>
        </w:tc>
        <w:tc>
          <w:tcPr>
            <w:tcW w:w="1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(68,112)</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(157,125)</w:t>
            </w:r>
          </w:p>
        </w:tc>
        <w:tc>
          <w:tcPr>
            <w:tcW w:w="140" w:type="dxa"/>
            <w:vAlign w:val="bottom"/>
          </w:tcPr>
          <w:p>
            <w:pPr>
              <w:spacing w:after="0"/>
              <w:rPr>
                <w:sz w:val="21"/>
                <w:szCs w:val="21"/>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 and diluted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7,326,090</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6,760,334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6,871,471</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5,812,860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F-2</w:t>
            </w:r>
          </w:p>
        </w:tc>
      </w:tr>
      <w:tr>
        <w:trPr>
          <w:trHeight w:val="331"/>
        </w:trPr>
        <w:tc>
          <w:tcPr>
            <w:tcW w:w="36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Combined Statement of Stockholders’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Merger of entities under common control into the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(unaudited)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6,760,334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restrictions placed on previously issued</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outstanding common stock (unaudited)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(3,373,408)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(unaudited)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1,491,072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shares (unaudited)</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1,054,192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 (unaudited)</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 (unaudited)</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5,932,190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agreement (unaudited)</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1,084,000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5,885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 (unaudited)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203,078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(unaudited)</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 (unaudited)</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2019 (unaudited)</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7,219,268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shares (unaudited)</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201,721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(unaudited)</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(unaudited)</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2019 (unaudited)</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7,420,989</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Combined Statement of Stockholders’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9"/>
                <w:szCs w:val="19"/>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0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founders (unaudited)</w:t>
            </w:r>
          </w:p>
        </w:tc>
        <w:tc>
          <w:tcPr>
            <w:tcW w:w="2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(unaudited)</w:t>
            </w:r>
          </w:p>
        </w:tc>
        <w:tc>
          <w:tcPr>
            <w:tcW w:w="10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2018 (unaudited)</w:t>
            </w:r>
          </w:p>
        </w:tc>
        <w:tc>
          <w:tcPr>
            <w:tcW w:w="1000" w:type="dxa"/>
            <w:vAlign w:val="bottom"/>
            <w:tcBorders>
              <w:bottom w:val="single" w:sz="8" w:color="CFF0FC"/>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to founders (unaudited)</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(unaudited)</w:t>
            </w:r>
          </w:p>
        </w:tc>
        <w:tc>
          <w:tcPr>
            <w:tcW w:w="10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2018 (unaudited)</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to founders (unaudited)</w:t>
            </w:r>
          </w:p>
        </w:tc>
        <w:tc>
          <w:tcPr>
            <w:tcW w:w="10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(unaudited)</w:t>
            </w:r>
          </w:p>
        </w:tc>
        <w:tc>
          <w:tcPr>
            <w:tcW w:w="10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2018 (unaudited)</w:t>
            </w:r>
          </w:p>
        </w:tc>
        <w:tc>
          <w:tcPr>
            <w:tcW w:w="10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24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100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Combined Statement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(157,125)</w:t>
            </w:r>
          </w:p>
        </w:tc>
        <w:tc>
          <w:tcPr>
            <w:tcW w:w="6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78,897</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liabilities (includes related party amounts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$59,031 and $0, respectively)</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59,060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convertible promissory notes (includes related party</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amounts of $1,053 and $22, respectively)</w:t>
            </w: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4,928</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 (includes related party amounts</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of $17, and $8, respectively)</w:t>
            </w: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 (includes related party amounts of</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$186, and $32, respectively)</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Accrued interest (includes related party amounts of $483 and $13,</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respectively)</w:t>
            </w:r>
          </w:p>
        </w:tc>
        <w:tc>
          <w:tcPr>
            <w:tcW w:w="9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2,347</w:t>
            </w:r>
          </w:p>
        </w:tc>
        <w:tc>
          <w:tcPr>
            <w:tcW w:w="180" w:type="dxa"/>
            <w:vAlign w:val="bottom"/>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purchased in-process research and development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paid for property, plant and equipment</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convertible promissory notes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88,324</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24,850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associated with Initial Public Offering (IPO)</w:t>
            </w:r>
          </w:p>
        </w:tc>
        <w:tc>
          <w:tcPr>
            <w:tcW w:w="9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111,875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9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73,605</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879</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9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74,484</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6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Exchange of accrued interest for convertible promissory notes</w:t>
            </w:r>
          </w:p>
        </w:tc>
        <w:tc>
          <w:tcPr>
            <w:tcW w:w="9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Takeda Warrants in connection with Takeda License</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47,894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Takeda License</w:t>
            </w:r>
          </w:p>
        </w:tc>
        <w:tc>
          <w:tcPr>
            <w:tcW w:w="1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gridSpan w:val="2"/>
            <w:vMerge w:val="continue"/>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5,885</w:t>
            </w:r>
          </w:p>
        </w:tc>
        <w:tc>
          <w:tcPr>
            <w:tcW w:w="1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warrants in connection with long-term debt</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Unpaid initial public offering costs</w:t>
            </w:r>
          </w:p>
        </w:tc>
        <w:tc>
          <w:tcPr>
            <w:tcW w:w="1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gridSpan w:val="2"/>
            <w:vMerge w:val="continue"/>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Final interest payment fee</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F-5</w:t>
            </w:r>
          </w:p>
        </w:tc>
      </w:tr>
      <w:tr>
        <w:trPr>
          <w:trHeight w:val="331"/>
        </w:trPr>
        <w:tc>
          <w:tcPr>
            <w:tcW w:w="36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Combined Financial Statements</w:t>
      </w:r>
    </w:p>
    <w:p>
      <w:pPr>
        <w:spacing w:after="0" w:line="200" w:lineRule="exact"/>
        <w:rPr>
          <w:sz w:val="20"/>
          <w:szCs w:val="20"/>
          <w:color w:val="auto"/>
        </w:rPr>
      </w:pPr>
    </w:p>
    <w:p>
      <w:pPr>
        <w:spacing w:after="0" w:line="219" w:lineRule="exact"/>
        <w:rPr>
          <w:sz w:val="20"/>
          <w:szCs w:val="20"/>
          <w:color w:val="auto"/>
        </w:rPr>
      </w:pPr>
    </w:p>
    <w:p>
      <w:pPr>
        <w:ind w:right="47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1. Organization, Basis of Presentation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43"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On October 29, 2019, the Company completed its initial public offering (the “IPO”) and issued 10,997,630 shares of common stock for net proceeds of approximately $191.4 million. Upon the closing of the IPO, the convertible promissory notes payable were converted into 6,107,918 shares of common stock. See Note 7 to these financial statements for additional details.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 and Conversion</w:t>
      </w:r>
    </w:p>
    <w:p>
      <w:pPr>
        <w:spacing w:after="0" w:line="20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During 2018, without consideration of the forward stock split described immediately below, both the Company and YamadaCo issued 1,000 shares of common stock at a purchase price of $1.00 per share, and had no other capital transactions prior to the Merger. Immediately prior to the Merger, the Company effected a 1,559.1183-for-1 forward stock split for each outstanding share of its common stock and, effective upon the closing of the Merger, each issued and outstanding share of YamadaCo was converted into 1,559.1183 shares of the Company’s common stock. Upon completion of the Merger, the Company had 6,760,334 shares of common stock outstanding, with the prior stockholders of each YamadaCo and Phathom holding an equal number of shares. The accompanying combined financial statements and notes to the combined financial statements give retroactive effect to the forward stock split and conversion for all periods presented.</w:t>
      </w:r>
    </w:p>
    <w:p>
      <w:pPr>
        <w:spacing w:after="0" w:line="149"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On October 11, 2019, the Company effected a 2.168-for-1 forward stock split of its common stock (the “Forward Stock Split”). The par value of the common stock was not adjusted as a result of the Forward Stock Split and the authorized shares were increased to 50,000,000 shares of common stock in connection with the Forward Stock Split. The accompanying combined financial statements and notes to the combined financial statements give retroactive effect to the Forward Stock Split for all periods presented, unless otherwise indicated.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Company’s combined financial statements are prepared in accordance with U.S. generally accepted accounting principles (“GAAP”). The accompanying combined financial statements include the accounts of the Company (the receiving entity) and YamadaCo, prior to the Merger. The Company and YamadaCo were entities under the common control of Frazier Life Sciences IX, L.P. (“Frazier”) as a result of, among others, Frazier’s; (i) ownership of a majority of the outstanding capital stock of both companies, (ii) financing of both companies, (iii) control of board of directors of both companies, and (iv) management of both companies. Both the Company and YamadaCo were formed for the purpose of identifying potential assets around which to form an operating company. As the merged entities were under common control, the combined financial statements report the financial position, results of operations and cash flows of the Company and YamadaCo as though the transfer of net assets and equity interests had occurred at the beginning of 2018. All intercompany accounts and transactions have been eliminated in combination.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From inception to September 30, 2019, the Company has devoted substantially all of its efforts to organizing and staffing the Company, business planning, raising capital, in-licensing its initial product candidate, vonoprazan, meeting with regulatory authorities, and preparing for the planned Phase 3 clinical trials of vonoprazan.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commercialization of vonoprazan. From inception to September 30, 2019, the Company has funded its operations through the issuance of convertible promissory notes and commercial bank debt. Additionally, on October 29, 2019, the Company completed its IPO and issued 10,997,630 shares of common stock for net proceeds of approximately $191.4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F-6</w:t>
            </w:r>
          </w:p>
        </w:tc>
      </w:tr>
      <w:tr>
        <w:trPr>
          <w:trHeight w:val="331"/>
        </w:trPr>
        <w:tc>
          <w:tcPr>
            <w:tcW w:w="36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207"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accompanying combined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4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Upon the initial public filing that took place on October 29, 2019, management believes that it has sufficient working capital on hand to fund operations through at least the next twelve months from the date these combined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combined financial statements requires it to make estimates and assumptions that impact the reported amounts of assets, liabilities and expenses and the disclosure of contingent assets and liabilities in the Company’s combined financial statements and accompanying notes. The most significant estimates in the Company’s combined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0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accompanying interim balance sheet as of September 30, 2019, the combined statements of operations and cash flows for the three and nine months ended September 30, 2019 and 2018 and the combined statement of stockholders’ deficit for the three and nine months ended September 30, 2019 and 2018 and the related footnote disclosures are unaudited. In management’s opinion, the unaudited interim financial statements have been prepared on the same basis as the audited combined financial statements and include all adjustments, which include only normal recurring adjustments, necessary for the fair presentation of the Company’s financial position as of September 30, 2019 and its results of operations and cash flows for the three and nine months ended September 30, 2019 and 2018 in accordance with GAAP. The results for the nine months ended September 30, 2019 are not necessarily indicative of the results expected for the full fiscal year or any other interim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87"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 xml:space="preserve">As permitted under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(“ASC 825”), the Company has elected the fair value option to account for its convertible promissory notes issued since inception. In accordance with ASC 825, the Company records these convertible promissory notes at fair value with changes in fair value recorded in the combined statements of operations. As a result of applying the fair value option, direct costs and fees related to the convertible promissory notes were recognized in earnings as incurred and not deferred.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240" w:firstLine="518"/>
        <w:spacing w:after="0" w:line="277" w:lineRule="auto"/>
        <w:rPr>
          <w:sz w:val="20"/>
          <w:szCs w:val="20"/>
          <w:color w:val="auto"/>
        </w:rPr>
      </w:pPr>
      <w:r>
        <w:rPr>
          <w:rFonts w:ascii="Times New Roman" w:cs="Times New Roman" w:eastAsia="Times New Roman" w:hAnsi="Times New Roman"/>
          <w:sz w:val="17"/>
          <w:szCs w:val="17"/>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F-7</w:t>
            </w:r>
          </w:p>
        </w:tc>
      </w:tr>
      <w:tr>
        <w:trPr>
          <w:trHeight w:val="331"/>
        </w:trPr>
        <w:tc>
          <w:tcPr>
            <w:tcW w:w="36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8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and cash equivalents classified within the Level 1 designation discussed above, prepaid and other current assets, accounts payable, and accrued liabilities, approximate fair value due to their short maturities. Warrant liabilities and convertible promissory notes are recorded at fair value on a recurring basis.</w:t>
      </w:r>
    </w:p>
    <w:p>
      <w:pPr>
        <w:spacing w:after="0" w:line="149"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Liabilities measured at fair value on a recurring basis are as follows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Reporting Date Using:</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20" w:type="dxa"/>
            <w:vAlign w:val="bottom"/>
          </w:tcPr>
          <w:p>
            <w:pPr>
              <w:spacing w:after="0"/>
              <w:rPr>
                <w:sz w:val="18"/>
                <w:szCs w:val="18"/>
                <w:color w:val="auto"/>
              </w:rPr>
            </w:pPr>
          </w:p>
        </w:tc>
        <w:tc>
          <w:tcPr>
            <w:tcW w:w="11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20" w:type="dxa"/>
            <w:vAlign w:val="bottom"/>
            <w:tcBorders>
              <w:bottom w:val="single" w:sz="8" w:color="CFF0FC"/>
            </w:tcBorders>
          </w:tcPr>
          <w:p>
            <w:pPr>
              <w:spacing w:after="0"/>
              <w:rPr>
                <w:sz w:val="20"/>
                <w:szCs w:val="20"/>
                <w:color w:val="auto"/>
              </w:rPr>
            </w:pPr>
          </w:p>
        </w:tc>
        <w:tc>
          <w:tcPr>
            <w:tcW w:w="13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December 31, 2018:</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5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2019:</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15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107,373</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95,229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202,602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70" w:lineRule="auto"/>
        <w:rPr>
          <w:sz w:val="20"/>
          <w:szCs w:val="20"/>
          <w:color w:val="auto"/>
        </w:rPr>
      </w:pPr>
      <w:r>
        <w:rPr>
          <w:rFonts w:ascii="Times New Roman" w:cs="Times New Roman" w:eastAsia="Times New Roman" w:hAnsi="Times New Roman"/>
          <w:sz w:val="17"/>
          <w:szCs w:val="17"/>
          <w:color w:val="auto"/>
        </w:rPr>
        <w:t>The warrant liabilities consist of an issued and outstanding common stock warrant (the “Takeda Warrant”) and a right to receive an additional common stock warrant (the “Takeda Warrant Right”, and together with the Takeda Warrant, the “Takeda Warrants”) issued to Takeda Pharmaceutical Company Limited (“Takeda”) in connection with a May 2019 license agreement (see Note 3) and warrants (the “Lender Warrants”) issued in connection with a loan and security agreement for commercial bank debt (see Note 5). The Takeda Warrants are accounted for as liabilities as they do not meet all the conditions for equity classification due to (i) insufficient authorized shares for the Takeda Warrant and (ii) the Takeda Warrant Right is not indexed to the Company’s own stock. The Lender Warrants are accounted for as liabilities as they contain a holder put right under which the lenders could require the Company to pay cash in exchange for the warrants. The fair value of the Takeda Warrants is derived from the model used to estimate the fair value the Company’s common stock (see Note 6). The fair value of the Lender Warrants is estimated using a probability-weighted model considering IPO and non-IPO scenarios. The IPO scenarios utilize a binomial lattice model to estimate a distribution of total equity values as of a projected IPO date. The non-IPO scenario utilizes the repurchase price associated with the warrant put right discounted to present value based on venture capital rates of return and the term associated with the put right. As of September 30, 2019, the fair value of the Takeda Warrants was $107.0 million and the fair value of the Lender Warrants was $0.4 million.</w:t>
      </w:r>
    </w:p>
    <w:p>
      <w:pPr>
        <w:spacing w:after="0" w:line="133"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As further described in Note 4, the Company issued convertible promissory notes to Frazier (the “Frazier Notes”) from January 2018 to April 2019 and issued convertible promissory notes in May 2019 (the “May 2019 Notes”) to investors including Frazier. The Company has elected the fair value option for each of its convertible promissory note issuances. The fair value of the Frazier Notes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May 2019 Notes is estimated using a scenario-based analysis that estimates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 As of December 31, 2018, the fair value of the Frazier Notes was $2.0 million and the Frazier Notes were exchanged for May 2019 Notes in May 2019. As of September 30, 2019, the fair value of the May 2019 Notes was $95.2 million.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F-8</w:t>
            </w:r>
          </w:p>
        </w:tc>
      </w:tr>
      <w:tr>
        <w:trPr>
          <w:trHeight w:val="331"/>
        </w:trPr>
        <w:tc>
          <w:tcPr>
            <w:tcW w:w="36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8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Company adjusts the carrying value of its warrant liabilities and convertible promissory notes to their estimated fair value at each reporting date, with any related increases or decreases in the fair value recorded as change in fair value of warrant liabilities and change in fair value of convertible promissory notes, respectively, in the combined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initial</w:t>
            </w: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method</w:t>
            </w:r>
          </w:p>
        </w:tc>
        <w:tc>
          <w:tcPr>
            <w:tcW w:w="120" w:type="dxa"/>
            <w:vAlign w:val="bottom"/>
          </w:tcPr>
          <w:p>
            <w:pPr>
              <w:spacing w:after="0"/>
              <w:rPr>
                <w:sz w:val="13"/>
                <w:szCs w:val="13"/>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initial</w:t>
            </w:r>
          </w:p>
        </w:tc>
        <w:tc>
          <w:tcPr>
            <w:tcW w:w="120" w:type="dxa"/>
            <w:vAlign w:val="bottom"/>
          </w:tcPr>
          <w:p>
            <w:pPr>
              <w:spacing w:after="0"/>
              <w:rPr>
                <w:sz w:val="12"/>
                <w:szCs w:val="12"/>
                <w:color w:val="auto"/>
              </w:rPr>
            </w:pPr>
          </w:p>
        </w:tc>
        <w:tc>
          <w:tcPr>
            <w:tcW w:w="2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method at as of</w:t>
            </w: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valuation date</w:t>
            </w:r>
          </w:p>
        </w:tc>
        <w:tc>
          <w:tcPr>
            <w:tcW w:w="120" w:type="dxa"/>
            <w:vAlign w:val="bottom"/>
          </w:tcPr>
          <w:p>
            <w:pPr>
              <w:spacing w:after="0"/>
              <w:rPr>
                <w:sz w:val="12"/>
                <w:szCs w:val="12"/>
                <w:color w:val="auto"/>
              </w:rPr>
            </w:pPr>
          </w:p>
        </w:tc>
        <w:tc>
          <w:tcPr>
            <w:tcW w:w="2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2019 (and</w:t>
            </w:r>
          </w:p>
        </w:tc>
        <w:tc>
          <w:tcPr>
            <w:tcW w:w="2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KEY unobservable inputs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relative weighting)</w:t>
            </w:r>
          </w:p>
        </w:tc>
        <w:tc>
          <w:tcPr>
            <w:tcW w:w="120" w:type="dxa"/>
            <w:vAlign w:val="bottom"/>
          </w:tcPr>
          <w:p>
            <w:pPr>
              <w:spacing w:after="0"/>
              <w:rPr>
                <w:sz w:val="15"/>
                <w:szCs w:val="15"/>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relative weighting)</w:t>
            </w:r>
          </w:p>
        </w:tc>
        <w:tc>
          <w:tcPr>
            <w:tcW w:w="21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2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Takeda Warrants</w:t>
            </w: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47,894</w:t>
            </w:r>
          </w:p>
        </w:tc>
        <w:tc>
          <w:tcPr>
            <w:tcW w:w="120" w:type="dxa"/>
            <w:vAlign w:val="bottom"/>
            <w:tcBorders>
              <w:top w:val="single" w:sz="8" w:color="CFF0FC"/>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107,373</w:t>
            </w:r>
          </w:p>
        </w:tc>
        <w:tc>
          <w:tcPr>
            <w:tcW w:w="120" w:type="dxa"/>
            <w:vAlign w:val="bottom"/>
            <w:tcBorders>
              <w:top w:val="single" w:sz="8" w:color="CFF0FC"/>
            </w:tcBorders>
            <w:shd w:val="clear" w:color="auto" w:fill="CFF0FC"/>
          </w:tcPr>
          <w:p>
            <w:pPr>
              <w:spacing w:after="0"/>
              <w:rPr>
                <w:sz w:val="11"/>
                <w:szCs w:val="11"/>
                <w:color w:val="auto"/>
              </w:rPr>
            </w:pPr>
          </w:p>
        </w:tc>
        <w:tc>
          <w:tcPr>
            <w:tcW w:w="208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Financing transactions (40%)</w:t>
            </w:r>
          </w:p>
        </w:tc>
        <w:tc>
          <w:tcPr>
            <w:tcW w:w="120" w:type="dxa"/>
            <w:vAlign w:val="bottom"/>
            <w:tcBorders>
              <w:top w:val="single" w:sz="8" w:color="CFF0FC"/>
            </w:tcBorders>
            <w:shd w:val="clear" w:color="auto" w:fill="CFF0FC"/>
          </w:tcPr>
          <w:p>
            <w:pPr>
              <w:spacing w:after="0"/>
              <w:rPr>
                <w:sz w:val="11"/>
                <w:szCs w:val="11"/>
                <w:color w:val="auto"/>
              </w:rPr>
            </w:pPr>
          </w:p>
        </w:tc>
        <w:tc>
          <w:tcPr>
            <w:tcW w:w="212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Financing transactions (70%)</w:t>
            </w:r>
          </w:p>
        </w:tc>
        <w:tc>
          <w:tcPr>
            <w:tcW w:w="140" w:type="dxa"/>
            <w:vAlign w:val="bottom"/>
            <w:tcBorders>
              <w:top w:val="single" w:sz="8" w:color="CFF0FC"/>
            </w:tcBorders>
            <w:shd w:val="clear" w:color="auto" w:fill="CFF0FC"/>
          </w:tcPr>
          <w:p>
            <w:pPr>
              <w:spacing w:after="0"/>
              <w:rPr>
                <w:sz w:val="11"/>
                <w:szCs w:val="11"/>
                <w:color w:val="auto"/>
              </w:rPr>
            </w:pPr>
          </w:p>
        </w:tc>
        <w:tc>
          <w:tcPr>
            <w:tcW w:w="202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Transaction prices per share</w:t>
            </w:r>
          </w:p>
        </w:tc>
        <w:tc>
          <w:tcPr>
            <w:tcW w:w="120" w:type="dxa"/>
            <w:vAlign w:val="bottom"/>
            <w:tcBorders>
              <w:top w:val="single" w:sz="8" w:color="CFF0FC"/>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$9.33 - $18.56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approach (60%)</w:t>
            </w:r>
          </w:p>
        </w:tc>
        <w:tc>
          <w:tcPr>
            <w:tcW w:w="2380" w:type="dxa"/>
            <w:vAlign w:val="bottom"/>
            <w:gridSpan w:val="3"/>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approach (30%)</w:t>
            </w:r>
          </w:p>
        </w:tc>
        <w:tc>
          <w:tcPr>
            <w:tcW w:w="21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Estimated time to liquidity</w:t>
            </w:r>
          </w:p>
        </w:tc>
        <w:tc>
          <w:tcPr>
            <w:tcW w:w="11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0.09 - 1.77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13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May 2019 Notes</w:t>
            </w:r>
          </w:p>
        </w:tc>
        <w:tc>
          <w:tcPr>
            <w:tcW w:w="680" w:type="dxa"/>
            <w:vAlign w:val="bottom"/>
            <w:shd w:val="clear" w:color="auto" w:fill="CFF0FC"/>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90,250</w:t>
            </w: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95,229</w:t>
            </w:r>
          </w:p>
        </w:tc>
        <w:tc>
          <w:tcPr>
            <w:tcW w:w="120" w:type="dxa"/>
            <w:vAlign w:val="bottom"/>
            <w:shd w:val="clear" w:color="auto" w:fill="CFF0FC"/>
          </w:tcPr>
          <w:p>
            <w:pPr>
              <w:spacing w:after="0"/>
              <w:rPr>
                <w:sz w:val="12"/>
                <w:szCs w:val="12"/>
                <w:color w:val="auto"/>
              </w:rPr>
            </w:pPr>
          </w:p>
        </w:tc>
        <w:tc>
          <w:tcPr>
            <w:tcW w:w="20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Financing transactions (40%)</w:t>
            </w:r>
          </w:p>
        </w:tc>
        <w:tc>
          <w:tcPr>
            <w:tcW w:w="2380" w:type="dxa"/>
            <w:vAlign w:val="bottom"/>
            <w:gridSpan w:val="3"/>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Financing transactions (70%)</w:t>
            </w:r>
          </w:p>
        </w:tc>
        <w:tc>
          <w:tcPr>
            <w:tcW w:w="21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Estimated time to liquidity</w:t>
            </w:r>
          </w:p>
        </w:tc>
        <w:tc>
          <w:tcPr>
            <w:tcW w:w="116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0.09 - 1.77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approach (60%)</w:t>
            </w:r>
          </w:p>
        </w:tc>
        <w:tc>
          <w:tcPr>
            <w:tcW w:w="2380" w:type="dxa"/>
            <w:vAlign w:val="bottom"/>
            <w:gridSpan w:val="3"/>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approach (30%)</w:t>
            </w:r>
          </w:p>
        </w:tc>
        <w:tc>
          <w:tcPr>
            <w:tcW w:w="21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Volatility</w:t>
            </w:r>
          </w:p>
        </w:tc>
        <w:tc>
          <w:tcPr>
            <w:tcW w:w="11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22.6% - 25%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all liabilities measured at fair value using Level 3 significant unobservable inputs (in thousands):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r>
      <w:tr>
        <w:trPr>
          <w:trHeight w:val="216"/>
        </w:trPr>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Promissory</w:t>
            </w:r>
          </w:p>
        </w:tc>
      </w:tr>
      <w:tr>
        <w:trPr>
          <w:trHeight w:val="238"/>
        </w:trPr>
        <w:tc>
          <w:tcPr>
            <w:tcW w:w="4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Notes</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30"/>
        </w:trPr>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90,750</w:t>
            </w: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of convertible promissory notes (Note 4)</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30"/>
        </w:trPr>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 of warrants</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95,229</w:t>
            </w:r>
          </w:p>
        </w:tc>
      </w:tr>
      <w:tr>
        <w:trPr>
          <w:trHeight w:val="20"/>
        </w:trPr>
        <w:tc>
          <w:tcPr>
            <w:tcW w:w="4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8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 has deferred offering costs consisting of legal, accounting and other fees and costs directly attributable to its planned IPO. The deferred offering costs will be offset against the proceeds received upon the completion of the planned IPO. In the event the planned IPO is terminated, all of the deferred offering costs will be expensed within the Company’s statements of operations. As of September 30, 2019, $2.0 million of deferred offering costs were recorded within other long-term assets on the balance sheet. No such costs were included on the combined balance sheet as of December 31,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Accruals</w:t>
      </w:r>
    </w:p>
    <w:p>
      <w:pPr>
        <w:spacing w:after="0" w:line="20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231F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planned clinical trials of vonoprazan, and costs related to manufacturing vonoprazan for clinical trials</w:t>
      </w:r>
      <w:r>
        <w:rPr>
          <w:rFonts w:ascii="Times New Roman" w:cs="Times New Roman" w:eastAsia="Times New Roman" w:hAnsi="Times New Roman"/>
          <w:sz w:val="18"/>
          <w:szCs w:val="18"/>
          <w:color w:val="000000"/>
        </w:rPr>
        <w: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F-9</w:t>
            </w:r>
          </w:p>
        </w:tc>
      </w:tr>
      <w:tr>
        <w:trPr>
          <w:trHeight w:val="331"/>
        </w:trPr>
        <w:tc>
          <w:tcPr>
            <w:tcW w:w="36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82"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performance are reflected in the accompanying balance sheets as prepaid expenses or accrued liabilities.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over the requisite service period of the awards (generally the vesting period) on a straight-line basis. The Company recognizes forfeitures as they occur.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comprehensive loss was the same as its reported net loss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9"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02"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2018 and 2019, the net loss per share was recast to include in the numerator the net losses of both the Company and YamadaCo and include in the denominator the combined weighted-average outstanding shares of both the Company and YamadaCo. Basic net loss per share is computed by dividing the combined net loss by the weighted-average number of common shares outstanding for the period, without consideration for potentially dilutive securities. The Company has excluded weighted-average unvested shares of 4,550,428 and 3,342,544 shares from the weighted-average number of common shares outstanding for the three and nine months ended September 30, 2019. No shares of common stock were unvested during the year ended September 30, 2018. Diluted net loss per share is computed by dividing the combined net loss by the weighted-average number of common shares and dilutive common stock equivalents outstanding for the period determined using the treasury-stock and if-converted methods. Dilutive common stock equivalents are comprised of unvested common stock, options, warrants and convertible promissory notes. For all periods presented, there is no difference in the number of shares used to calculate basic and diluted shares outstanding as inclusion of the potentially dilutive securities would be antidilutive.</w:t>
      </w:r>
    </w:p>
    <w:p>
      <w:pPr>
        <w:spacing w:after="0" w:line="14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for the periods presented because their inclusion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8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880" w:type="dxa"/>
            <w:vAlign w:val="bottom"/>
            <w:shd w:val="clear" w:color="auto" w:fill="CFF0FC"/>
          </w:tcPr>
          <w:p>
            <w:pPr>
              <w:spacing w:after="0"/>
              <w:rPr>
                <w:sz w:val="19"/>
                <w:szCs w:val="19"/>
                <w:color w:val="auto"/>
              </w:rPr>
            </w:pPr>
          </w:p>
        </w:tc>
        <w:tc>
          <w:tcPr>
            <w:tcW w:w="1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7,588,000</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7,588,000</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1,400,528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1,400,528</w:t>
            </w:r>
          </w:p>
        </w:tc>
        <w:tc>
          <w:tcPr>
            <w:tcW w:w="12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repurchase</w:t>
            </w:r>
          </w:p>
        </w:tc>
        <w:tc>
          <w:tcPr>
            <w:tcW w:w="3000" w:type="dxa"/>
            <w:vAlign w:val="bottom"/>
            <w:gridSpan w:val="2"/>
            <w:shd w:val="clear" w:color="auto" w:fill="CFF0FC"/>
          </w:tcPr>
          <w:p>
            <w:pPr>
              <w:ind w:left="2160"/>
              <w:spacing w:after="0"/>
              <w:rPr>
                <w:sz w:val="20"/>
                <w:szCs w:val="20"/>
                <w:color w:val="auto"/>
              </w:rPr>
            </w:pPr>
            <w:r>
              <w:rPr>
                <w:rFonts w:ascii="Times New Roman" w:cs="Times New Roman" w:eastAsia="Times New Roman" w:hAnsi="Times New Roman"/>
                <w:sz w:val="18"/>
                <w:szCs w:val="18"/>
                <w:color w:val="auto"/>
              </w:rPr>
              <w:t>4,550,428</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3,342,544</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86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31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F-10</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Financial Accounting Standards Board (“FASB”) issued Accounting Standards Update (“ASU”) No. 2018-07,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Nonemployee Share-Based Payment Accounting</w:t>
      </w:r>
      <w:r>
        <w:rPr>
          <w:rFonts w:ascii="Times New Roman" w:cs="Times New Roman" w:eastAsia="Times New Roman" w:hAnsi="Times New Roman"/>
          <w:sz w:val="18"/>
          <w:szCs w:val="18"/>
          <w:color w:val="auto"/>
        </w:rPr>
        <w:t>. This guidance expands the scope of Topic 718,</w:t>
      </w:r>
      <w:r>
        <w:rPr>
          <w:rFonts w:ascii="Times New Roman" w:cs="Times New Roman" w:eastAsia="Times New Roman" w:hAnsi="Times New Roman"/>
          <w:sz w:val="18"/>
          <w:szCs w:val="18"/>
          <w:i w:val="1"/>
          <w:iCs w:val="1"/>
          <w:color w:val="auto"/>
        </w:rPr>
        <w:t xml:space="preserve"> Compensation —Stock Compensation</w:t>
      </w:r>
      <w:r>
        <w:rPr>
          <w:rFonts w:ascii="Times New Roman" w:cs="Times New Roman" w:eastAsia="Times New Roman" w:hAnsi="Times New Roman"/>
          <w:sz w:val="18"/>
          <w:szCs w:val="18"/>
          <w:color w:val="auto"/>
        </w:rPr>
        <w:t>, which currently only includes share-based payments to employees, to include share-based payments issued to nonemployees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goods or services. Consequently, the accounting for share-based payments to nonemployees and employees will be substantially aligned. This ASU supersedes Subtopic 505-50, </w:t>
      </w:r>
      <w:r>
        <w:rPr>
          <w:rFonts w:ascii="Times New Roman" w:cs="Times New Roman" w:eastAsia="Times New Roman" w:hAnsi="Times New Roman"/>
          <w:sz w:val="18"/>
          <w:szCs w:val="18"/>
          <w:i w:val="1"/>
          <w:iCs w:val="1"/>
          <w:color w:val="auto"/>
        </w:rPr>
        <w:t>Equity—Equity-Based Payments to Non-Employees</w:t>
      </w:r>
      <w:r>
        <w:rPr>
          <w:rFonts w:ascii="Times New Roman" w:cs="Times New Roman" w:eastAsia="Times New Roman" w:hAnsi="Times New Roman"/>
          <w:sz w:val="18"/>
          <w:szCs w:val="18"/>
          <w:color w:val="auto"/>
        </w:rPr>
        <w:t xml:space="preserve"> and is effective for public companies for annual periods beginning after December 15, 2018, including interim periods within those fiscal years, with early adoption permitted as long as ASU No. 2014-09 has been adopted by the Company. The Company adopted this guidance effective January 1, 2018, and the adoption did not have a material impact on the Company's financial statements.</w:t>
      </w:r>
    </w:p>
    <w:p>
      <w:pPr>
        <w:spacing w:after="0" w:line="15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lease liability and a right-of-use asset for all leases with lease terms of more than 12 months. Additionally, certain qualitative and quantitative disclosures will be required in the financial statements. This guidance is effective for annual reporting periods beginning after December 15, 2018, including interim periods within those fiscal years, and early adoption is permitted. Companies may adopt this guidance using a modified retrospective approach for leases that exist or are entered into after the beginning of the earliest comparative period in the financial statements. The Company adopted this guidance effective January 1, 2018, and the adoption did not have any impact on the Company’s financial statements as the Company did not have any leases at the time of adoption. As the Company enters into future, material lease agreements, the adoption of this guidance is expected to result in a significant increase in the total assets and liabilities reported on the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ind w:right="4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which eliminates, modifies and adds disclosure requirements on fair value measurements. The standard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periods beginning after December 15, 2019, including interim periods within those fiscal years, and early adoption is permitted. The Company is currently evaluating the impact the adoption of ASU No. 2018-13 will have on the Company’s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Related Party Transactions</w:t>
      </w:r>
    </w:p>
    <w:p>
      <w:pPr>
        <w:spacing w:after="0" w:line="18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Frazier is a principal stockholder of the Company and is represented on the Company’s board of directors. For the year ended December 31, 2018 and the nine months ended September 30, 2019, the Company conducted its operations within office space controlled by Frazier and Frazier allocated a portion of the costs associated with this office to the Company. In addition, Frazier paid for various goods and services, such as employee wages, insurance and expense reimbursements and various administrative services associated with the operations of the Company and charged the Company for those expenses. As of September 30, 2019, and December 31, 2018, the Company had outstanding accounts payable balances due to Frazier of $71,000 and $45,000, respectively, related to these shared operating expenses. For the three months ended September 30, 2019 and 2018, the Company incurred $0.2 million and $66,000, respectively, of shared operating expenses. For the nine months ended September 30, 2019 and 2018, the Company incurred $0.3 million and $0.2 million, respectively, of shared operating expenses. In addition to the shared operating expenses, the Company issued convertible promissory notes to Frazier during 2018 and 2019 (see Note 4).</w:t>
      </w:r>
    </w:p>
    <w:p>
      <w:pPr>
        <w:spacing w:after="0" w:line="149"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Frazier is a principal stockholder in PCI Pharma Services (“PCI”). In the third quarter of 2019, the Company engaged PCI for clinical manufacturing services. As of September 30, 2019, the Company had $0.1 million in prepaid services and $0.2 million outstanding accounts payable and accrued expenses related to these manufacturing services. For the three and nine months ended September 30, 2019, the Company incurred $0.2 million of expenses related to services performed by PCI.</w:t>
      </w:r>
    </w:p>
    <w:p>
      <w:pPr>
        <w:spacing w:after="0" w:line="153"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Mountain Field LLC (“Mountain Field”) is an entity owned by the chairman of the Company’s board of directors. During the year ended December 31, 2018 and the nine months ended September 30, 2019, the Company charged Mountain Field for certain rent and payroll related expenses. These shared expenses were allocated based on usage of the related facilities and time incurred by personnel. As of September 30, 2019, and December 31, 2018, the Company had an outstanding accounts receivable balance from Mountain Field of $0 and $19,000, respectively, related to shared operating expenses. For the three months ended September 30, 2019 and 2018, the Company incurred $0 and $5,000, respectively, for shared expenses. For the nine months ended September 30, 2019 and 2018, the Company charged Mountain Field $0.1 million and $2,000, respectively, for shared expenses.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Takeda became a common stockholder of the Company as of May 7, 2019 in connection with the May 2019 license agreement (see Note 3).</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F-11</w:t>
            </w:r>
          </w:p>
        </w:tc>
      </w:tr>
      <w:tr>
        <w:trPr>
          <w:trHeight w:val="331"/>
        </w:trPr>
        <w:tc>
          <w:tcPr>
            <w:tcW w:w="36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8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5"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the Takeda Warrant Right to receive an additional common stock warrant should Takeda’s fully-diluted ownership of the Company represent less than a certain specified percentage of the fully-diluted capitalization, including shares issuable upon conversion of outstanding convertible promissory notes, calculated immediately before the closing of the Company’s IPO, with a nominal initial fair value due to the low probability of issuance. The Takeda Warrant Right expired upon completion of our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becomes exercisable upon (i) certain change of control transactions of the Company or (ii) the consummation of an IPO by the Company.</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transaction has been accounted for as an asset acquisition as substantially all of the fair value is concentrated in a group of similar assets.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$78.9 million fair value of the consideration paid for these research and development assets, which have no alternative future use, was recorded as in-process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in the Company’s combined statement of operations for the nine months ended September 30,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Convertible Promissory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Frazier Convertible Note Financing</w:t>
      </w:r>
    </w:p>
    <w:p>
      <w:pPr>
        <w:spacing w:after="0" w:line="121" w:lineRule="exact"/>
        <w:rPr>
          <w:sz w:val="20"/>
          <w:szCs w:val="20"/>
          <w:color w:val="auto"/>
        </w:rPr>
      </w:pPr>
    </w:p>
    <w:p>
      <w:pPr>
        <w:ind w:right="40" w:firstLine="380"/>
        <w:spacing w:after="0" w:line="254" w:lineRule="auto"/>
        <w:rPr>
          <w:sz w:val="20"/>
          <w:szCs w:val="20"/>
          <w:color w:val="auto"/>
        </w:rPr>
      </w:pPr>
      <w:r>
        <w:rPr>
          <w:rFonts w:ascii="Times New Roman" w:cs="Times New Roman" w:eastAsia="Times New Roman" w:hAnsi="Times New Roman"/>
          <w:sz w:val="18"/>
          <w:szCs w:val="18"/>
          <w:color w:val="auto"/>
        </w:rPr>
        <w:t>From January 2018 to April 2019, the Company issued the Frazier Notes for an aggregate of $2.4 million and bearing interest at per annum rates ranging from 1.68% to 2.55%. Of the Frazier Notes, $1.9 million were issued in 2018 and $0.5 million were issued in April 2019. Due to certain embedded features within the Frazier Notes, the Company elected to account for these notes and all their embedded features under the fair value option. The Company recorded changes in the fair value of the Frazier Notes in the combined statements of operations until May 2019, when the Frazier Notes and related accrued interest were exchanged, at their then fair value of $2.4 million, for the May 2019 Notes. For the three and nine months ended September 30, 2018, and the nine months ended September 30, 2019, the Company recognized $18,000 of expense, $22,000 of expense, and $50,000 of income, respectively, in change in fair value of convertible promissory notes in the combined statements of operations related to changes in the fair value of the Frazier Notes. For the three and nine months ended September 30, 2018 and the nine months ended September 30, 2019, the Company recognized $4,000, $8,000 and $15,000, respectively, of interest expense in connection with the Frazier Notes. No interest expense or changes in fair value related to the Frazier Notes were recorded in the three months ended September 30, 2019, as the Frazier Notes were exchanged in May 2019.</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F-12</w:t>
            </w:r>
          </w:p>
        </w:tc>
      </w:tr>
      <w:tr>
        <w:trPr>
          <w:trHeight w:val="331"/>
        </w:trPr>
        <w:tc>
          <w:tcPr>
            <w:tcW w:w="36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2019 Convertible Note Financing</w:t>
      </w:r>
    </w:p>
    <w:p>
      <w:pPr>
        <w:spacing w:after="0" w:line="202"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In May 7, 2019, the Company entered into a note purchase agreement under which it issued the unsecured May 2019 Notes for an aggregate of $90.3 million, resulting in gross proceeds to the Company of $87.8 million in cash and $2.4 million related to the exchange of the Frazier Notes and related accrued interest for the May 2019 Notes. Including the conversion of the Frazier Notes, Frazier purchased $20.0 million of the May 2019 Notes. The May 2019 Notes bear interest at a rate of 6% per annum and are subordinated to borrowings under the Company’s loan and security agreement (see Note 5). The May 2019 Notes become payable upon demand of the holders of at least 60% of the outstanding principal amount of the May 2019 Notes, including Frazier, on May 7, 2020 (the “Maturity Date”), and become due and payable on May 7, 2022, subject to earlier conversion or repayment in the event the Company completes certain equity financings or a change of control. The May 2019 Notes can be converted/redeemed as follows (i) automatically converted upon a qualified equity financing, with a conversion price of the lesser of 80% of the price paid per share in such financing or the conversion cap price per share, (ii) optionally converted upon a non-qualified equity financing with a conversion price of 80% of the price paid per share in such financing, (iii) optionally converted any time after the Maturity Date, with a conversion price per share of the conversion cap price per share, (iv) automatically upon an IPO with a conversion price per share of the lesser of 80% of the IPO price per share, or the conversion cap price per share, and (v) upon certain corporate transactions, receive cash equal to the greater of (A) two times the then outstanding principal and accrued interest and (B) an amount equal to the amount that would be received as if the May 2019 Notes were converted with a conversion price of the conversion cap price per share. The conversion cap price per share is defined as $500.0 million less the outstanding principal and accrued interest divided by the total of (1) the total number of common shares outstanding immediately prior to conversion, (2) the number of common shares issuable upon exercise or conversion of exercisable or convertible securities, and (3) the number of shares of capital stock reserved for issuance under the Company’s equity incentive plan.</w:t>
      </w:r>
    </w:p>
    <w:p>
      <w:pPr>
        <w:spacing w:after="0" w:line="156"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The note purchase agreement includes, among others, covenants related to delivery of certain financial reports, certain registration rights, voting provisions regarding the composition of the Company’s board of directors, and limitations on the Company’s ability to pay dividends, incur additional indebtedness or consummate certain changes of control. The note purchase agreement also contains customary events of default, including bankruptcy, the failure to make payments when due, and certain material adverse changes. Upon the occurrence of an event of default, subject to any specified cure periods, all amounts owed by the Company may be declared immediately due and payable. As of September 30, 2019, the Company was in compliance with all applicable covenants under the note purchase agreement.</w:t>
      </w:r>
    </w:p>
    <w:p>
      <w:pPr>
        <w:spacing w:after="0" w:line="147"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Due to certain embedded features within the May 2019 Notes, the Company elected to account for these notes and all their embedded features under the fair value option. For the three and nine months ended September 30, 2019, the Company recognized $2.5 million and $4.9 million respectively, of other expense in the combined statements of operations related to increases in the fair value of the May 2019 Notes. For the three and nine months ended September 30, 2019, the Company recognized $1.4 million and $2.2 million, respectively, of interest expense in connection with the May 2019 Notes. As of September 30, 2019, the outstanding principal and accrued interest on the May 2019 Notes was $90.3 million and $2.2 million, respectively. The principal and accrued interest of the May 2019 Notes automatically converted upon the IPO on October 29, 2019, converting into 6,107,918 shares of common stock; refer to Note 7 for further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2"/>
        </w:trPr>
        <w:tc>
          <w:tcPr>
            <w:tcW w:w="7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Long-term debt consists of the following (in thousands):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3"/>
        </w:trPr>
        <w:tc>
          <w:tcPr>
            <w:tcW w:w="2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300" w:type="dxa"/>
            <w:vAlign w:val="bottom"/>
          </w:tcPr>
          <w:p>
            <w:pPr>
              <w:spacing w:after="0"/>
              <w:rPr>
                <w:sz w:val="20"/>
                <w:szCs w:val="20"/>
                <w:color w:val="auto"/>
              </w:rPr>
            </w:pPr>
          </w:p>
        </w:tc>
        <w:tc>
          <w:tcPr>
            <w:tcW w:w="55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230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2300" w:type="dxa"/>
            <w:vAlign w:val="bottom"/>
          </w:tcPr>
          <w:p>
            <w:pPr>
              <w:spacing w:after="0"/>
              <w:rPr>
                <w:sz w:val="19"/>
                <w:szCs w:val="19"/>
                <w:color w:val="auto"/>
              </w:rPr>
            </w:pPr>
          </w:p>
        </w:tc>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23"/>
        </w:trPr>
        <w:tc>
          <w:tcPr>
            <w:tcW w:w="2300" w:type="dxa"/>
            <w:vAlign w:val="bottom"/>
          </w:tcPr>
          <w:p>
            <w:pPr>
              <w:spacing w:after="0"/>
              <w:rPr>
                <w:sz w:val="19"/>
                <w:szCs w:val="19"/>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of debt discount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22,611</w:t>
            </w:r>
          </w:p>
        </w:tc>
      </w:tr>
      <w:tr>
        <w:trPr>
          <w:trHeight w:val="20"/>
        </w:trPr>
        <w:tc>
          <w:tcPr>
            <w:tcW w:w="2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231F20"/>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has the right to borrow an additional $25.0 million (“Term Loan B”). Term Loan B is available through March 31, 2020, provided that (i) the Company has received at least $150.0 million of net cash proceeds in connection with the issuance and sale, subsequent to April 1 2019, of its equity securities and subordinated debt, (ii) the Company has initiated Phase 3 clinical trials for vonoprazan, and (iii) no event of default has occurred.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F-13</w:t>
            </w:r>
          </w:p>
        </w:tc>
      </w:tr>
      <w:tr>
        <w:trPr>
          <w:trHeight w:val="331"/>
        </w:trPr>
        <w:tc>
          <w:tcPr>
            <w:tcW w:w="36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8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231F20"/>
        </w:rPr>
        <w:t>The Term Loans bear interest at a floating rate of the higher of the Wall Street Journal Prime rate plus 1.75% (7.25% at September 30, 2019) or 7.25%. The monthly payments consist of interest-only through June 1, 2021 or, in the event of positive data with respect to the Company’s Phase 3 clinical trial in both indications for vonoprazan sufficient to file an NDA with the FDA, through June 1, 2022. Subsequent to the interest-only period, the Term Loans will be payable in equal monthly installments of principal, plus accrued and unpaid interest through the maturity date of May 1, 2024. In addition, the Company is obligated to pay a final payment fee of 8.25% of the original principal amount of the Term Loans. As of September 30, 2019, the final payment fee of $2.1 million has been recorded as an other long-term liability.</w:t>
      </w:r>
    </w:p>
    <w:p>
      <w:pPr>
        <w:spacing w:after="0" w:line="1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231F20"/>
        </w:rPr>
        <w:t>The Company may elect to prepay all or a portion of the Term Loans prior to maturity, subject to a prepayment fee of up to 2.0% of the then</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231F20"/>
        </w:rPr>
        <w:t>outstanding principal balance and payment of a pro rata portion of the final payment fee. After repayment, no Term Loan amounts may be borrowed again.</w:t>
      </w:r>
    </w:p>
    <w:p>
      <w:pPr>
        <w:spacing w:after="0" w:line="166"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September 30, 2019, the Company was in compliance with all applicable covenants under the Loan Agreement.</w:t>
      </w:r>
    </w:p>
    <w:p>
      <w:pPr>
        <w:spacing w:after="0" w:line="146"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In connection with the Loan Agreement, the Company issued the Lender Warrants to purchase stock of the Company. The Lender Warrants become exercisable only if the Company borrows Term Loan B, and the number, class and per share price of the shares subject to the warrants is dependent on the terms of certain future equity financing transactions of the Company, including an IPO. The Lender Warrants expire ten years from the date of issuance, subject to earlier termination on September 30, 2020 if the Company does not draw down Term Loan B on or before March 31, 2020. The Lender Warrants include a put option pursuant to which, in the event that the Company does not draw down Term Loan B on or before March 31, 2020, the warrant holders may require that the Company repurchase the warrants for a total aggregate repurchase price of $0.5 million. The put right is exercisable through September 30, 2020.</w:t>
      </w:r>
    </w:p>
    <w:p>
      <w:pPr>
        <w:spacing w:after="0" w:line="16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initial $0.4 million fair value of the Lender Warrants, the $2.1 million final payment fee and $0.2 million of debt issuance costs have been recorded as debt discount and are being amortized to interest expense using the effective interest method over the term of the Term Loans. For the three and nine months ended September 30, 2019, the Company recognized $0.6 million and $0.9 million of interest expense, including amortization of the debt discount, in connection with the Loan Agreement. As of September 30, 2019, the Company had outstanding Term Loans of $25.0 million and accrued interest of $0.2 million.</w:t>
      </w:r>
    </w:p>
    <w:p>
      <w:pPr>
        <w:spacing w:after="0" w:line="143"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Future minimum principal and interest payments under the Term Loans, including the final payment fee, as of September 30, 2019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94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2019</w:t>
            </w:r>
          </w:p>
        </w:tc>
        <w:tc>
          <w:tcPr>
            <w:tcW w:w="3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940" w:type="dxa"/>
            <w:vAlign w:val="bottom"/>
            <w:shd w:val="clear" w:color="auto" w:fill="CFF0FC"/>
          </w:tcPr>
          <w:p>
            <w:pPr>
              <w:jc w:val="right"/>
              <w:ind w:right="2250"/>
              <w:spacing w:after="0"/>
              <w:rPr>
                <w:sz w:val="20"/>
                <w:szCs w:val="20"/>
                <w:color w:val="auto"/>
              </w:rPr>
            </w:pPr>
            <w:r>
              <w:rPr>
                <w:rFonts w:ascii="Times New Roman" w:cs="Times New Roman" w:eastAsia="Times New Roman" w:hAnsi="Times New Roman"/>
                <w:sz w:val="18"/>
                <w:szCs w:val="18"/>
                <w:color w:val="auto"/>
              </w:rPr>
              <w:t>2020</w:t>
            </w:r>
          </w:p>
        </w:tc>
        <w:tc>
          <w:tcPr>
            <w:tcW w:w="2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1,843</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94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2021</w:t>
            </w:r>
          </w:p>
        </w:tc>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940" w:type="dxa"/>
            <w:vAlign w:val="bottom"/>
            <w:shd w:val="clear" w:color="auto" w:fill="CFF0FC"/>
          </w:tcPr>
          <w:p>
            <w:pPr>
              <w:jc w:val="right"/>
              <w:ind w:right="2250"/>
              <w:spacing w:after="0"/>
              <w:rPr>
                <w:sz w:val="20"/>
                <w:szCs w:val="20"/>
                <w:color w:val="auto"/>
              </w:rPr>
            </w:pPr>
            <w:r>
              <w:rPr>
                <w:rFonts w:ascii="Times New Roman" w:cs="Times New Roman" w:eastAsia="Times New Roman" w:hAnsi="Times New Roman"/>
                <w:sz w:val="18"/>
                <w:szCs w:val="18"/>
                <w:color w:val="auto"/>
              </w:rPr>
              <w:t>2022</w:t>
            </w:r>
          </w:p>
        </w:tc>
        <w:tc>
          <w:tcPr>
            <w:tcW w:w="2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9,533</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94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2023</w:t>
            </w:r>
          </w:p>
        </w:tc>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940" w:type="dxa"/>
            <w:vAlign w:val="bottom"/>
            <w:shd w:val="clear" w:color="auto" w:fill="CFF0FC"/>
          </w:tcPr>
          <w:p>
            <w:pPr>
              <w:jc w:val="right"/>
              <w:ind w:right="2250"/>
              <w:spacing w:after="0"/>
              <w:rPr>
                <w:sz w:val="20"/>
                <w:szCs w:val="20"/>
                <w:color w:val="auto"/>
              </w:rPr>
            </w:pPr>
            <w:r>
              <w:rPr>
                <w:rFonts w:ascii="Times New Roman" w:cs="Times New Roman" w:eastAsia="Times New Roman" w:hAnsi="Times New Roman"/>
                <w:sz w:val="18"/>
                <w:szCs w:val="18"/>
                <w:color w:val="auto"/>
              </w:rPr>
              <w:t>2024</w:t>
            </w:r>
          </w:p>
        </w:tc>
        <w:tc>
          <w:tcPr>
            <w:tcW w:w="26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5,599</w:t>
            </w:r>
          </w:p>
        </w:tc>
        <w:tc>
          <w:tcPr>
            <w:tcW w:w="2300" w:type="dxa"/>
            <w:vAlign w:val="bottom"/>
          </w:tcPr>
          <w:p>
            <w:pPr>
              <w:spacing w:after="0"/>
              <w:rPr>
                <w:sz w:val="19"/>
                <w:szCs w:val="19"/>
                <w:color w:val="auto"/>
              </w:rPr>
            </w:pPr>
          </w:p>
        </w:tc>
      </w:tr>
      <w:tr>
        <w:trPr>
          <w:trHeight w:val="223"/>
        </w:trPr>
        <w:tc>
          <w:tcPr>
            <w:tcW w:w="5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Total principal and interest payments</w:t>
            </w:r>
          </w:p>
        </w:tc>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32,962</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 and final payment fee</w:t>
            </w:r>
          </w:p>
        </w:tc>
        <w:tc>
          <w:tcPr>
            <w:tcW w:w="26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300" w:type="dxa"/>
            <w:vAlign w:val="bottom"/>
          </w:tcPr>
          <w:p>
            <w:pPr>
              <w:spacing w:after="0"/>
              <w:rPr>
                <w:sz w:val="19"/>
                <w:szCs w:val="19"/>
                <w:color w:val="auto"/>
              </w:rPr>
            </w:pPr>
          </w:p>
        </w:tc>
      </w:tr>
      <w:tr>
        <w:trPr>
          <w:trHeight w:val="223"/>
        </w:trPr>
        <w:tc>
          <w:tcPr>
            <w:tcW w:w="5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Long-term debt</w:t>
            </w:r>
          </w:p>
        </w:tc>
        <w:tc>
          <w:tcPr>
            <w:tcW w:w="26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2300" w:type="dxa"/>
            <w:vAlign w:val="bottom"/>
          </w:tcPr>
          <w:p>
            <w:pPr>
              <w:spacing w:after="0"/>
              <w:rPr>
                <w:sz w:val="19"/>
                <w:szCs w:val="19"/>
                <w:color w:val="auto"/>
              </w:rPr>
            </w:pPr>
          </w:p>
        </w:tc>
      </w:tr>
      <w:tr>
        <w:trPr>
          <w:trHeight w:val="20"/>
        </w:trPr>
        <w:tc>
          <w:tcPr>
            <w:tcW w:w="52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845"/>
        </w:trPr>
        <w:tc>
          <w:tcPr>
            <w:tcW w:w="524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w w:val="98"/>
              </w:rPr>
              <w:t>US-DOCS\111623708.4</w:t>
            </w:r>
          </w:p>
        </w:tc>
        <w:tc>
          <w:tcPr>
            <w:tcW w:w="302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color w:val="auto"/>
              </w:rPr>
              <w:t>F-14</w:t>
            </w: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1"/>
        </w:trPr>
        <w:tc>
          <w:tcPr>
            <w:tcW w:w="23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Deficit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September 30, 2019, 2,213,808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2019, the Company issued Takeda 1,084,000 shares of common stock in connection with the Takeda License.</w:t>
      </w:r>
    </w:p>
    <w:p>
      <w:pPr>
        <w:spacing w:after="0" w:line="19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w:t>
      </w:r>
    </w:p>
    <w:p>
      <w:pPr>
        <w:spacing w:after="0" w:line="143"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On October 29, 2019, the Company completed its IPO and issued 10,997,630 shares of common stock for net proceeds of approximately $191.4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02"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As of September 30, 2019, the Company had 2,231,739 shares of common stock authorized for issuance under the Existing Incentive Plan, of which 814,951 shares remained available for grant. In May 2019, the Company issued 16,260 shares of common stock under a restricted stock award, of which 6,775 were unvested as of September 30, 2019. For the nine months ended September 30, 2019, 1,400,258 stock options and 16,260 restricted stock awards were granted under the Existing Incentive Plan.</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unvested shares is as follows: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restrictions placed on previously issued shares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3,373,408</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 of unvested common stock</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2,524,852</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unvested restricted stock awards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16,260</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 vesting</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(1,458,985)</w:t>
            </w:r>
          </w:p>
        </w:tc>
        <w:tc>
          <w:tcPr>
            <w:tcW w:w="0" w:type="dxa"/>
            <w:vAlign w:val="bottom"/>
          </w:tcPr>
          <w:p>
            <w:pPr>
              <w:spacing w:after="0"/>
              <w:rPr>
                <w:sz w:val="1"/>
                <w:szCs w:val="1"/>
                <w:color w:val="auto"/>
              </w:rPr>
            </w:pPr>
          </w:p>
        </w:tc>
      </w:tr>
      <w:tr>
        <w:trPr>
          <w:trHeight w:val="223"/>
        </w:trPr>
        <w:tc>
          <w:tcPr>
            <w:tcW w:w="73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4,455,535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accounting purposes, unvested shares of common stock are considered issued, but not outstanding until they vest.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F-15</w:t>
            </w:r>
          </w:p>
        </w:tc>
      </w:tr>
      <w:tr>
        <w:trPr>
          <w:trHeight w:val="331"/>
        </w:trPr>
        <w:tc>
          <w:tcPr>
            <w:tcW w:w="36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The Company, prior to the IPO on October 29, 2019, is a private company and lacks company-specific historical and implied volatility information. Therefore, it estimates its expected volatility based on the historical volatility of a publicly traded set of peer companies. Due to the lack of historical exercise history, the expected term of the Company’s stock options for employees has been determined utilizing the “simplified” method for awards.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3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3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1,400,528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exercised and shares vested</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cancelled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1,400,528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5,575</w:t>
            </w:r>
          </w:p>
        </w:tc>
      </w:tr>
      <w:tr>
        <w:trPr>
          <w:trHeight w:val="234"/>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exercisable as of September 30, 2019</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estimated weighted-average fair value of employee and nonemployee director stock options granted during 2019 was $5.12. As of September 30, 2019, the Company had $3.8M of unrecognized stock-based compensation expense, which is expected to be recognized over a weighted-average period of 3.72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20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using the Black-Scholes option valuation model and the resulting weighted average fair value of stock options granted were as follows:</w:t>
      </w:r>
    </w:p>
    <w:p>
      <w:pPr>
        <w:spacing w:after="0" w:line="171"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41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7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r>
      <w:tr>
        <w:trPr>
          <w:trHeight w:val="230"/>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Risk free interest rate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including founder stock, has been reported in the combined statements of operations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740" w:type="dxa"/>
            <w:vAlign w:val="bottom"/>
          </w:tcPr>
          <w:p>
            <w:pPr>
              <w:spacing w:after="0"/>
              <w:rPr>
                <w:sz w:val="18"/>
                <w:szCs w:val="18"/>
                <w:color w:val="auto"/>
              </w:rPr>
            </w:pPr>
          </w:p>
        </w:tc>
      </w:tr>
      <w:tr>
        <w:trPr>
          <w:trHeight w:val="238"/>
        </w:trPr>
        <w:tc>
          <w:tcPr>
            <w:tcW w:w="1720" w:type="dxa"/>
            <w:vAlign w:val="bottom"/>
          </w:tcPr>
          <w:p>
            <w:pPr>
              <w:spacing w:after="0"/>
              <w:rPr>
                <w:sz w:val="20"/>
                <w:szCs w:val="20"/>
                <w:color w:val="auto"/>
              </w:rPr>
            </w:pPr>
          </w:p>
        </w:tc>
        <w:tc>
          <w:tcPr>
            <w:tcW w:w="32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74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740" w:type="dxa"/>
            <w:vAlign w:val="bottom"/>
          </w:tcPr>
          <w:p>
            <w:pPr>
              <w:spacing w:after="0"/>
              <w:rPr>
                <w:sz w:val="19"/>
                <w:szCs w:val="19"/>
                <w:color w:val="auto"/>
              </w:rPr>
            </w:pPr>
          </w:p>
        </w:tc>
      </w:tr>
      <w:tr>
        <w:trPr>
          <w:trHeight w:val="20"/>
        </w:trPr>
        <w:tc>
          <w:tcPr>
            <w:tcW w:w="49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F-16</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1"/>
        </w:trPr>
        <w:tc>
          <w:tcPr>
            <w:tcW w:w="17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nine months ended September 30, 2019, the vested fair value of the restricted stock awards was $37,000 and $66,000,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stock-based compensation expense for the nine months ended September 30,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Takeda Warrant</w:t>
      </w:r>
    </w:p>
    <w:p>
      <w:pPr>
        <w:spacing w:after="0" w:line="18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On October 11, 2019, the Company increased its authorized shares to 50,000,000. As a result, there were sufficient authorized shares for the Takeda Warrant. The Company will record an adjustment to the fair value of the Takeda Warrant as of October 11, 2019 and reclassify the balance from warrant liabilities to additional paid-in capital.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02"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On October 29, 2019, the Company completed its IPO whereby it sold 10,997,630 shares of common stock at a public offering price of $19.00 per share. In aggregate, the Company received net proceeds of approximately $191.4 million, after deducting underwriting discounts, commissions and offering costs of $17.6 million.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each of the following occurred in connection with the completion of our IPO on October 29, 2019:</w:t>
      </w:r>
    </w:p>
    <w:p>
      <w:pPr>
        <w:spacing w:after="0" w:line="185" w:lineRule="exact"/>
        <w:rPr>
          <w:sz w:val="20"/>
          <w:szCs w:val="20"/>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6,107,918 shares of common stock upon the automatic conversion of the May 2019 Notes;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right granted to Takeda to receive an additional common stock warrant, or the Takeda Warrant Right.</w:t>
      </w:r>
    </w:p>
    <w:p>
      <w:pPr>
        <w:spacing w:after="0" w:line="185"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actual balance sheet data and pro forma balance sheet data to reflect the activities related to the Company’s IPO noted above, as of September 30, 2019 (in thousands):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16"/>
        </w:trPr>
        <w:tc>
          <w:tcPr>
            <w:tcW w:w="54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4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74,484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267,164</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 payable</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107,373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401,665</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(158,413)</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243,254</w:t>
            </w:r>
          </w:p>
        </w:tc>
      </w:tr>
    </w:tbl>
    <w:p>
      <w:pPr>
        <w:spacing w:after="0" w:line="193"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its IPO on October 29, 2019, the Company will record an additional non-cash charge related to the final fair value adjustment of the convertible promissory notes payable. This final fair value adjustment is excluded from the table above.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F-17</w:t>
            </w:r>
          </w:p>
        </w:tc>
      </w:tr>
      <w:tr>
        <w:trPr>
          <w:trHeight w:val="331"/>
        </w:trPr>
        <w:tc>
          <w:tcPr>
            <w:tcW w:w="36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as of September 30, 2019 and thereafter and for the nine months ended September 30, 2018 and 2019 is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Award Plan</w:t>
      </w:r>
    </w:p>
    <w:p>
      <w:pPr>
        <w:spacing w:after="0" w:line="202"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October 2019, the board of directors adopted, and the Company’s stockholders approved the 2019 Equity Incentive Plan (the “2019 Plan”), which will become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An aggregate of 2,700,000 shares of the Company’s common stock will initially be available for issuance under awards granted pursuant to the 2019 Plan.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Employee Stock Purchase Plan</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October 2019, the board of directors adopted, and the Company’s stockholders approved, the Employee Stock Purchase Plan (the “ESPP”), which will become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is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F-18</w:t>
            </w:r>
          </w:p>
        </w:tc>
      </w:tr>
      <w:tr>
        <w:trPr>
          <w:trHeight w:val="331"/>
        </w:trPr>
        <w:tc>
          <w:tcPr>
            <w:tcW w:w="36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0" w:name="page21"/>
    <w:bookmarkEnd w:id="20"/>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results of operations in conjunction with the unaudited interim financial statements included in this Quarterly Report on Form 10-Q and with our audited financial statements and notes thereto for the year ended December 31, 2018 and the related Management’s Discussion and Analysis of Financial Condition and Results of Operations, both of which are contained in in the Prospectus dated October 24, 2019 filed pursuant to Rule 424(b) under the Securities Act with the Securities and Exchange Commission on October 28, 2019, or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0" w:lineRule="exact"/>
        <w:rPr>
          <w:sz w:val="20"/>
          <w:szCs w:val="20"/>
          <w:color w:val="auto"/>
        </w:rPr>
      </w:pPr>
    </w:p>
    <w:p>
      <w:pPr>
        <w:ind w:right="120" w:firstLine="518"/>
        <w:spacing w:after="0" w:line="252" w:lineRule="auto"/>
        <w:rPr>
          <w:sz w:val="20"/>
          <w:szCs w:val="20"/>
          <w:color w:val="auto"/>
        </w:rPr>
      </w:pPr>
      <w:r>
        <w:rPr>
          <w:rFonts w:ascii="Times New Roman" w:cs="Times New Roman" w:eastAsia="Times New Roman" w:hAnsi="Times New Roman"/>
          <w:sz w:val="18"/>
          <w:szCs w:val="18"/>
          <w:color w:val="auto"/>
        </w:rPr>
        <w:t>The following discussion and other parts of this quarterly report contain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Prospectus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 xml:space="preserve">We are a late clinical-stage biopharmaceutical company focused on developing and commercializing novel treatments for gastrointestinal, or GI, diseases. Our initial product candidate, vonoprazan, is an oral small molecule potassium-competitive acid blocker, or P-CAB. P-CABs are a novel class of medicines that block acid secretion in the stomach. Vonoprazan has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Times New Roman" w:cs="Times New Roman" w:eastAsia="Times New Roman" w:hAnsi="Times New Roman"/>
          <w:sz w:val="18"/>
          <w:szCs w:val="18"/>
          <w:i w:val="1"/>
          <w:iCs w:val="1"/>
          <w:color w:val="auto"/>
        </w:rPr>
        <w:t>Helicobacter pylori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Takeda Pharmaceutical Company Limited, or Takeda, developed vonoprazan and has received marketing approval in nine countries in Asia and Latin America. Vonoprazan generated over $500 million in net sales in its fourth full year on the market since its approval in Japan in late 2014. In May 2019, we in-licensed the U.S., European, and Canadian rights to vonoprazan from Takeda. We plan to initiate two pivotal Phase 3 clinical trials of vonoprazan in the fourth quarter of 2019. We believe that the successful completion of our Phase 3 clinical trials, together with the existing clinical data, will support regulatory submissions in 2021 and 2022 for marketing approval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and erosive esophagitis, respectively. We have received qualified infectious disease product (QIDP) and Fast Track designations from the U.S. Food and Drug Administration, or FDA, for vonoprazan in combination with certain antibiotics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QIDP designation also provides potential eligibility for priority review and extension of any regulatory exclusivity awarded if approved. If approved, we plan to independently commercialize vonoprazan in the United States. We also plan to seek commercial partnerships for vonoprazan in Europe and Canada, expand development of vonoprazan across indications, dosing regimens and alternative formulations and packaging, and in-license or acquire additional clinical or commercial stage product candidates for the treatment of GI diseases in a capital efficient manner.</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21</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1" w:name="page22"/>
    <w:bookmarkEnd w:id="21"/>
    <w:p>
      <w:pPr>
        <w:ind w:right="60" w:firstLine="380"/>
        <w:spacing w:after="0" w:line="254" w:lineRule="auto"/>
        <w:rPr>
          <w:sz w:val="20"/>
          <w:szCs w:val="20"/>
          <w:color w:val="auto"/>
        </w:rPr>
      </w:pPr>
      <w:r>
        <w:rPr>
          <w:rFonts w:ascii="Times New Roman" w:cs="Times New Roman" w:eastAsia="Times New Roman" w:hAnsi="Times New Roman"/>
          <w:sz w:val="18"/>
          <w:szCs w:val="18"/>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our planned Phase 3 clinical trials of vonoprazan, and providing other general and administrative support for these operations. Our operations to date have been funded primarily through the issuance of convertible promissory notes and commercial bank debt. From our inception through September 30, 2019, we have raised aggregate gross proceeds of $90.3 million from the issuance of convertible promissory notes and $25.0 million of commercial bank debt. As of September 30, 2019, we had cash and cash equivalents of $74.5 million. On October 29, 2019, in connection with our initial public offering, or IPO, we sold 10,997,630 shares of common stock, which included the exercise in full by the underwriters of their option to purchase 1,434,473 additional shares at a public offering price of $19.00 per share. The net proceeds were approximately $191.4 million, after deducting underwriting discounts and commissions and estimated offering costs. Based on our current operating plan, we believe that our existing cash and cash equivalents will be sufficient to meet our anticipated cash requirements through at least the next 24 months.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products approved for sale and have incurred net losses since our inception. Our net losses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and 2019 were $0.8 million and $157.1 million, respectively. Our net losses for the nine months ended September 30, 2019 included non-cash charges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change in fair value of warrant liabilities of $59.0 million, change in fair value of convertible promissory notes of $4.9 million, the issuance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Takeda of 1,084,000 shares of our common stock at a fair value of $5.9 million and issuance of the Takeda Warrant at an initial fair value of $47.9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of September 30, 2019, we had an accumulated deficit of $158.4 million. Our net losses may fluctuate significantly from quarter-to-quarter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year-to-year, depending on the timing of our clinical development activities, other research and development activities and pre-commercialization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expenses and operating losses will increase substantially as we advance vonoprazan through clinical trials, seek regulatory approval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vonoprazan, expand our clinical, regulatory, quality, manufacturing and commercialization capabilities, incur significant commercialization expenses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sales, manufacturing and distribution if we obtain marketing approval for vonoprazan, protect our intellectual property, expand our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support functions, including hiring additional personnel, and incur additional costs associated with operating as a public company.</w:t>
      </w:r>
    </w:p>
    <w:p>
      <w:pPr>
        <w:spacing w:after="0" w:line="166"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existing loan and security agreement, or Loan Agreement,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Operations Overview</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combined financial statements include the accounts of Phathom (the receiving entity) and YamadaCo IIA prior to being merged into a single entity effective March 13, 2019. Phathom and YamadaCo IIA were entities under common control of Frazier Life Sciences IX, L.P., or Frazier, as a result of, among other things, Frazier’s: (i) ownership of a majority of the outstanding capital stock of both companies; (ii) financing of both companies; (iii) control of the board of directors of both companies; and (iv) management of both companies. Both Phathom and YamadaCo IIA were formed for the purpose of identifying potential assets around which to form an operating company. As the merged entities were under common control, the combined financial statements report the financial position, results of operations and cash flows of Phathom and YamadaCo IIA as though the transfer of net assets and equity interests had occurred at the beginning of 2018. All intercompany accounts and transactions have been eliminated in combination.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Takeda</w:t>
      </w:r>
    </w:p>
    <w:p>
      <w:pPr>
        <w:spacing w:after="0" w:line="20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On May 7, 2019, we and Takeda entered into an exclusive license to commercialize vonoprazan fumarate in the United States, Canada and Europe, or the Takeda License, pursuant to which we in-licensed the U.S., European, and Canadian rights to vonoprazan.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7"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22</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2" w:name="page23"/>
    <w:bookmarkEnd w:id="22"/>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outstanding convertible promissory notes, calculated immediately prior to the closing of our IPO. The Takeda Warrant Right expired upon completion of our IPO, and no additional warrant was issued. We agreed to make milestone payments to Takeda upon achieving certain tiered aggregate annual net sales of licensed products in the United States, Europe and Canada up a total maximum milestone amount of $250.0 million. We also agreed to make tiered royalty payments at percentages in the very low to mid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include:</w:t>
      </w:r>
    </w:p>
    <w:p>
      <w:pPr>
        <w:spacing w:after="0" w:line="185" w:lineRule="exact"/>
        <w:rPr>
          <w:sz w:val="20"/>
          <w:szCs w:val="20"/>
          <w:color w:val="auto"/>
        </w:rPr>
      </w:pPr>
    </w:p>
    <w:p>
      <w:pPr>
        <w:ind w:left="900" w:right="400" w:hanging="379"/>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charges for those individuals involved in research and development efforts;</w:t>
      </w:r>
    </w:p>
    <w:p>
      <w:pPr>
        <w:spacing w:after="0" w:line="121" w:lineRule="exact"/>
        <w:rPr>
          <w:rFonts w:ascii="Times New Roman" w:cs="Times New Roman" w:eastAsia="Times New Roman" w:hAnsi="Times New Roman"/>
          <w:sz w:val="18"/>
          <w:szCs w:val="18"/>
          <w:color w:val="auto"/>
        </w:rPr>
      </w:pPr>
    </w:p>
    <w:p>
      <w:pPr>
        <w:ind w:left="900" w:right="620" w:hanging="379"/>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and consultants to conduct and support our planned clinical trials of vonoprazan; and</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vonoprazan clinical trials.</w:t>
      </w:r>
    </w:p>
    <w:p>
      <w:pPr>
        <w:spacing w:after="0" w:line="18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85" w:lineRule="exact"/>
        <w:rPr>
          <w:sz w:val="20"/>
          <w:szCs w:val="20"/>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evaluated in the trials;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23</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3" w:name="page24"/>
    <w:bookmarkEnd w:id="23"/>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0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In-process research and development expenses relate to the Takeda License, and include the $78.9 million purchase price of the acquired research and development assets. The purchase price of the Takeda License consisted of the following: (i) $25.0 million in cash; (ii) issuance to Takeda of 1,084,000 shares of our common stock at a fair value of $5.9 million; (iii) issuance of the Takeda Warrant at an initial fair value of $47.9 million; (iv) issuance of the Takeda Warrant Right, with a nominal initial fair value due to the low probability of issuance; and (v) $0.1 million of transaction costs incurred by us. The fair value of the Takeda Warrant and Takeda Warrant Right were determined using the methodologies described below under “Change in Fair Value of Warrant Liabilities,” and the fair value of the common stock was determined using the methodologies described below under “Critical Accounting Policies and Significant Judgments and Estimates—Common Stock Valuations.”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9" w:lineRule="exact"/>
        <w:rPr>
          <w:sz w:val="20"/>
          <w:szCs w:val="20"/>
          <w:color w:val="auto"/>
        </w:rPr>
      </w:pPr>
    </w:p>
    <w:p>
      <w:pPr>
        <w:ind w:right="120" w:firstLine="518"/>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consist of salaries and employee-related costs, including stock-based compensation, for personnel in executive, finance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on our money market fund.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Interest expense consists of (i) interest on our convertible promissory notes at per annum interest rates ranging from 1.68% to 6.00% and (ii) interest on our outstanding commercial bank debt at a floating per annum interest rate (7.25% as of September 30, 2019) and amortization of the commercial bank debt discount recorded in connection with the fair value of warrants issued to the lenders, debt issuance costs incurred and the obligation to make a final payment fee.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8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connection with the Takeda License, we issued the Takeda Warrant and Takeda Warrant Right, or together the Takeda Warrants. In connection with our commercial bank debt, we issued the lenders warrants to purchase our capital stock, or the Lender Warrants. The Takeda Warrants are accounted for as liabilities as they do not meet all the conditions for equity classification due to (i) insufficient authorized shares for the Takeda Warrant and (ii) the Takeda Warrant Right is not indexed to our own stock. The Lender Warrants are accounted for as liabilities as they contain a holder put right under which the lenders could require us to pay cash in exchange for the warrants. We adjust the carrying value of our warrant liabilities to their estimated fair value at each reporting date, with any change in fair value of the warrant liabilities recorded as an increase or decrease to change in fair value of warrant liabilities in the combined statements of operations.</w:t>
      </w:r>
    </w:p>
    <w:p>
      <w:pPr>
        <w:spacing w:after="0" w:line="162"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The fair value of the Takeda Warrants is derived from the model used to estimate the fair value of our common stock and the fair value of the Lender Warrants is estimated using a probability-weighted model considering IPO and non-IPO scenarios. The IPO scenarios utilize a binomial lattice model to estimate a distribution of total equity values as of a projected IPO date. The non-IPO scenario utilizes the repurchase price associated with the warrant put right discounted to present value based on venture capital rates of return and the term associated with the put right. After the closing of the IPO, the Lender Warrants will continue to be accounted for at fair value.</w:t>
      </w:r>
    </w:p>
    <w:p>
      <w:pPr>
        <w:spacing w:after="0" w:line="143"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On October 11, 2019, we increased our authorized shares of common stock to 50,000,000. As a result, there were sufficient authorized shares of common stock for the Takeda Warrant. We recorded an adjustment to the fair value of the Takeda Warrant as of October 11, 2019, and reclassified the balance from warrant liabilities to additional paid-in capital.</w:t>
      </w:r>
    </w:p>
    <w:p>
      <w:pPr>
        <w:spacing w:after="0" w:line="136"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Upon the closing of the IPO, (i) the Takeda Warrant Right expired without effect since no fair value has been allocated to it, and (ii) the Lender Warrants, as a result of a put option, will continue as warrant liabilities adjusted to fair value at each reporting date.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24</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Promissory Notes</w:t>
      </w:r>
    </w:p>
    <w:p>
      <w:pPr>
        <w:spacing w:after="0" w:line="20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issued convertible promissory notes in 2018 and 2019 for which we have elected the fair value option. We adjust the carrying value of our convertible promissory notes to their estimated fair value at each reporting date, with any change in fair value of the convertible promissory notes recorded as an increase or decrease to change in fair value of convertible promissory notes in our combined statements of operations.</w:t>
      </w:r>
    </w:p>
    <w:p>
      <w:pPr>
        <w:spacing w:after="0" w:line="13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Prior to their exchange into convertible promissory notes issued in May 2019, the fair value of convertible promissory notes issued from inception through April 2019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convertible promissory notes issued in May 2019 is estimated using a scenario-based analysis that estimates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notes issued in May 2019 and related accrued interest were converted into 6,107,918 shares upon completion of the IPO.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2018 and 2019</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2018 and 2019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7,664</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78,897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78,897</w:t>
            </w: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w:t>
            </w: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90,522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89,748</w:t>
            </w: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(89,748)</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(59,060)</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(66,573)</w:t>
            </w: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(157,125)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(156,321)</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180" w:firstLine="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We had minimal research and development expenses for the nine months ended September 30, 2018, as we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yet entered into the Takeda License. The $7.6 million of research and development expenses for the nine months ended September 30, 2019 consisted of $6.3 million of clinical development of vonoprazan and $1.3 million of personnel-related expenses.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In-Process Research and Development Expenses. </w:t>
      </w:r>
      <w:r>
        <w:rPr>
          <w:rFonts w:ascii="Times New Roman" w:cs="Times New Roman" w:eastAsia="Times New Roman" w:hAnsi="Times New Roman"/>
          <w:sz w:val="18"/>
          <w:szCs w:val="18"/>
          <w:color w:val="auto"/>
        </w:rPr>
        <w:t>We had no in-process research and development expenses for the nine months ended September 30,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The $78.9 million of in-process research and development expenses for the nine months ended September 30, 2019 consisted of the purchase price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research and development assets we acquired as part of the Takeda License. The purchase price of the Takeda License consisted of the following: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in cash; (ii) issuance to Takeda of 1,084,000 shares of our common stock at a fair value of $5.9 million; (iii) issuance of the Takeda Warrant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initial fair value of $47.9 million; (iv) issuance of the Takeda Warrant Right, with a nominal initial fair value due to the low probability of issuance; and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of transaction costs incurred by us.</w:t>
      </w:r>
    </w:p>
    <w:p>
      <w:pPr>
        <w:spacing w:after="0" w:line="205" w:lineRule="exact"/>
        <w:rPr>
          <w:sz w:val="20"/>
          <w:szCs w:val="20"/>
          <w:color w:val="auto"/>
        </w:rPr>
      </w:pPr>
    </w:p>
    <w:p>
      <w:pPr>
        <w:ind w:right="40" w:firstLine="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$0.8 million and $4.0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and 2019, respectively. The increase of $3.2 million was due to increases of $0.7 million in legal</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25</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25" w:name="page26"/>
    <w:bookmarkEnd w:id="25"/>
    <w:p>
      <w:pPr>
        <w:ind w:right="600"/>
        <w:spacing w:after="0" w:line="282" w:lineRule="auto"/>
        <w:rPr>
          <w:sz w:val="20"/>
          <w:szCs w:val="20"/>
          <w:color w:val="auto"/>
        </w:rPr>
      </w:pPr>
      <w:r>
        <w:rPr>
          <w:rFonts w:ascii="Times New Roman" w:cs="Times New Roman" w:eastAsia="Times New Roman" w:hAnsi="Times New Roman"/>
          <w:sz w:val="18"/>
          <w:szCs w:val="18"/>
          <w:color w:val="auto"/>
        </w:rPr>
        <w:t>fees related to corporate and intellectual property matters, $0.9 million in professional services expenses for accounting, audit, tax, valuation and other services, $1.0 million in personnel-related expenses, $0.3 million of consulting services expenses, and $0.3 million of other operating expenses.</w:t>
      </w:r>
    </w:p>
    <w:p>
      <w:pPr>
        <w:spacing w:after="0" w:line="160" w:lineRule="exact"/>
        <w:rPr>
          <w:sz w:val="20"/>
          <w:szCs w:val="20"/>
          <w:color w:val="auto"/>
        </w:rPr>
      </w:pPr>
    </w:p>
    <w:p>
      <w:pPr>
        <w:ind w:right="100" w:firstLine="3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expense of $30,000 for the nine months ended September 30, 2018 consisted of $8,000 of interest expense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convertible promissory notes and $22,000 of other expense related to the increase in fair value of those convertible promissory notes. Other expense of $66.6 million for the nine months ended September 30, 2019 consisted of $4.9 million of other expense related to the increase in the fair value of our convertible promissory notes, $59.1 million of other expense related to the increase in the fair value of warrant liabilities, $2.2 million of interest expense on our outstanding convertible promissory notes, $0.9 million of interest expense on outstanding commercial bank debt, and $0.5 million of interest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2018 and 2019</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2018 and 2019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4,463</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1,551</w:t>
            </w: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6,014</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(6,014)</w:t>
            </w: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(57,776)</w:t>
            </w: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(61,808)</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(67,822)</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120" w:firstLine="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We had minimal research and development expenses for the three months ended September 30, 2018, as we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yet entered into the Takeda License. The $4.4 million of research and development expenses for the three months ended September 30, 2019 consisted of $3.3 million of clinical development of vonoprazan and $1.1 million of personnel-related expenses.</w:t>
      </w:r>
    </w:p>
    <w:p>
      <w:pPr>
        <w:spacing w:after="0" w:line="174" w:lineRule="exact"/>
        <w:rPr>
          <w:sz w:val="20"/>
          <w:szCs w:val="20"/>
          <w:color w:val="auto"/>
        </w:rPr>
      </w:pPr>
    </w:p>
    <w:p>
      <w:pPr>
        <w:ind w:right="220" w:firstLine="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$0.3 million and $1.8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2018 and 2019, respectively. The increase of $1.5 million was due to increases of $0.1 million in legal fees related to corporate and intellectual property matters, $0.5 million in professional services expenses for accounting, audit, tax, valuation and other services, $0.3 million in personnel-related expenses, $0.1 million of consulting services expenses, and $0.5 million of other operating expenses.</w:t>
      </w:r>
    </w:p>
    <w:p>
      <w:pPr>
        <w:spacing w:after="0" w:line="180" w:lineRule="exact"/>
        <w:rPr>
          <w:sz w:val="20"/>
          <w:szCs w:val="20"/>
          <w:color w:val="auto"/>
        </w:rPr>
      </w:pPr>
    </w:p>
    <w:p>
      <w:pPr>
        <w:ind w:right="100" w:firstLine="3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expense of $22,000 for the three months ended September 30, 2018 consisted of $4,000 of interest expense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convertible promissory notes and $18,000 of other expense related to the increase in fair value of those convertible promissory notes. Other expense of $61.8 million for the nine months ended September 30, 2019 consisted of $2.5 million of other expense related to the increase in the fair value of our convertible promissory notes, $57.7 million of other expense related to the increase in the fair value of warrant liabilities, $1.4 million of interest expense on our outstanding convertible promissory notes, $0.6 million of interest expense on outstanding commercial bank debt, and $0.4 million of interest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and anticipate we will continue to incur net losses for the foreseeable future. As of September 30, 2019, we had cash and cash equivalents of $74.5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Bank Debt</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On May 14, 2019, we entered into the Loan Agreement with Silicon Valley Bank, or SVB, as administrative and collateral agent,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26</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6" w:name="page27"/>
    <w:bookmarkEnd w:id="26"/>
    <w:p>
      <w:pPr>
        <w:ind w:right="140"/>
        <w:spacing w:after="0" w:line="258" w:lineRule="auto"/>
        <w:rPr>
          <w:sz w:val="20"/>
          <w:szCs w:val="20"/>
          <w:color w:val="auto"/>
        </w:rPr>
      </w:pPr>
      <w:r>
        <w:rPr>
          <w:rFonts w:ascii="Times New Roman" w:cs="Times New Roman" w:eastAsia="Times New Roman" w:hAnsi="Times New Roman"/>
          <w:sz w:val="18"/>
          <w:szCs w:val="18"/>
          <w:color w:val="231F20"/>
        </w:rPr>
        <w:t>and lenders SVB and WestRiver Innovation Lending Fund VIII, L.P.. We borrowed $25.0 million, or Term Loan A, at the inception of the Loan Agreement and have the right to borrow an additional $25.0 million, or Term Loan B, and which we collectively refer to as the Term Loans. Term Loan B is available through March 31, 2020, provided that (i) we have received at least $150.0 million of net cash proceeds in connection with the issuance and sale, subsequent to April 1, 2019, of our equity securities and subordinated debt, (ii) we have initiated Phase 3 clinical trials for vonoprazan, and (iii) no event of default has occurred. As of September 30, 2019, we had outstanding Term Loans of $25.0 million and accrued interest of $0.2 million</w:t>
      </w:r>
      <w:r>
        <w:rPr>
          <w:rFonts w:ascii="Times New Roman" w:cs="Times New Roman" w:eastAsia="Times New Roman" w:hAnsi="Times New Roman"/>
          <w:sz w:val="18"/>
          <w:szCs w:val="18"/>
          <w:color w:val="000000"/>
        </w:rPr>
        <w:t>.</w:t>
      </w:r>
    </w:p>
    <w:p>
      <w:pPr>
        <w:spacing w:after="0" w:line="184" w:lineRule="exact"/>
        <w:rPr>
          <w:sz w:val="20"/>
          <w:szCs w:val="20"/>
          <w:color w:val="auto"/>
        </w:rPr>
      </w:pPr>
    </w:p>
    <w:p>
      <w:pPr>
        <w:ind w:right="40" w:firstLine="380"/>
        <w:spacing w:after="0" w:line="253" w:lineRule="auto"/>
        <w:rPr>
          <w:sz w:val="20"/>
          <w:szCs w:val="20"/>
          <w:color w:val="auto"/>
        </w:rPr>
      </w:pPr>
      <w:r>
        <w:rPr>
          <w:rFonts w:ascii="Times New Roman" w:cs="Times New Roman" w:eastAsia="Times New Roman" w:hAnsi="Times New Roman"/>
          <w:sz w:val="18"/>
          <w:szCs w:val="18"/>
          <w:color w:val="auto"/>
        </w:rPr>
        <w:t>The Term Loans bear interest at a floating rate of the higher of the Wall Street Journal Prime rate plus 1.75% (7.25% at September 30, 2019) or 7.25%. The monthly payments consist of interest-only through June 1, 2021 or, in the event of positive data with respect to our Phase 3 clinical trials in both indications for vonoprazan sufficient to file a new drug application, or NDA, with the FDA, through June 1, 2022. Subsequent to the interest-only period, the Term Loans will be payable in equal monthly installments of principal, plus accrued and unpaid interest through the maturity date of May 1, 2024. 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93" w:lineRule="exact"/>
        <w:rPr>
          <w:sz w:val="20"/>
          <w:szCs w:val="20"/>
          <w:color w:val="auto"/>
        </w:rPr>
      </w:pPr>
    </w:p>
    <w:p>
      <w:pPr>
        <w:ind w:right="60" w:firstLine="380"/>
        <w:spacing w:after="0" w:line="255" w:lineRule="auto"/>
        <w:rPr>
          <w:sz w:val="20"/>
          <w:szCs w:val="20"/>
          <w:color w:val="auto"/>
        </w:rPr>
      </w:pPr>
      <w:r>
        <w:rPr>
          <w:rFonts w:ascii="Times New Roman" w:cs="Times New Roman" w:eastAsia="Times New Roman" w:hAnsi="Times New Roman"/>
          <w:sz w:val="18"/>
          <w:szCs w:val="18"/>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September 30, 2019, we were in compliance with all applicable covenants under the Loan Agreement.</w:t>
      </w:r>
    </w:p>
    <w:p>
      <w:pPr>
        <w:spacing w:after="0" w:line="185" w:lineRule="exact"/>
        <w:rPr>
          <w:sz w:val="20"/>
          <w:szCs w:val="20"/>
          <w:color w:val="auto"/>
        </w:rPr>
      </w:pPr>
    </w:p>
    <w:p>
      <w:pPr>
        <w:ind w:right="100" w:firstLine="380"/>
        <w:spacing w:after="0" w:line="256" w:lineRule="auto"/>
        <w:rPr>
          <w:sz w:val="20"/>
          <w:szCs w:val="20"/>
          <w:color w:val="auto"/>
        </w:rPr>
      </w:pPr>
      <w:r>
        <w:rPr>
          <w:rFonts w:ascii="Times New Roman" w:cs="Times New Roman" w:eastAsia="Times New Roman" w:hAnsi="Times New Roman"/>
          <w:sz w:val="18"/>
          <w:szCs w:val="18"/>
          <w:color w:val="auto"/>
        </w:rPr>
        <w:t>In connection with the Loan Agreement, we issued the Lender Warrants, which become exercisable only if we borrow Term Loan B, and the number, class and per share exercise price of the shares subject to the warrants is dependent on the terms of certain future equity financing transactions of the Company, including an IPO. The Lender Warrants expire ten years from the date of issuance, subject to earlier termination on September 30, 2020 if we do not draw down Term Loan B on or before March 31, 2020. The Lender Warrants include a put option pursuant to which, in the event that we do not draw down Term Loan B on or before March 31, 2020, the warrant holders may require us to repurchase the warrants for a total aggregate repurchase price of $0.5 million. The put right is exercisable through September 30,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Financings</w:t>
      </w:r>
    </w:p>
    <w:p>
      <w:pPr>
        <w:spacing w:after="0" w:line="202"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From January 2018 to April 2019, we issued an aggregate of $2.4 million of convertible promissory notes to Frazier, or the Frazier Notes, bearing interest at per annum rates ranging from 1.68% to 2.55%. In May 2019, these notes and related accrued interest were exchanged, at their then fair value of $2.4 million, for the May 2019 convertible promissory notes described below.</w:t>
      </w:r>
    </w:p>
    <w:p>
      <w:pPr>
        <w:spacing w:after="0" w:line="13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May 7, 2019, we entered into a note purchase agreement under which we issued an aggregate of $90.3 million of unsecured convertible promissory notes, or the May 2019 Notes, resulting in gross proceeds to us of $87.8 million in cash and $2.4 million related to the exchange of the Frazier Notes. Including the conversion of the Frazier Notes, Frazier purchased $20.0 million of the May 2019 Notes. The May 2019 Notes bear interest at a rate of 6% per annum and are subordinated to borrowings under our Loan Agreement. The May 2019 Notes become payable upon demand of the holders of at least 60% of the outstanding principal amount of the May 2019 Notes, including Frazier, on May 7, 2020, or the Maturity Date, and become due and payable on May 7, 2022, subject to earlier conversion or repayment in the event we complete certain equity financings or a change of control. The note purchase agreement includes certain customary covenants and events of default. The May 2019 Notes automatically converted upon the IPO on October 29, 2019, converting into the issuance of 6,107,918 shares of common stock, representing the outstanding principal amount of the notes at the date of automatic conversion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02"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Based on our current operating plan, we believe that our existing cash and cash equivalents, together with the net proceeds from our IPO, will be sufficient to meet our anticipated cash requirements through at least the next 24 months. In particular, we expect the net proceeds will allow us to complete our planned Phase 3 clinical trials of vonoprazan in the treatment of erosive esophagitis and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However, our forecast of the period of time through which our financial resources will be adequate to support our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27</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7" w:name="page28"/>
    <w:bookmarkEnd w:id="27"/>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900" w:right="20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21"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vonoprazan or any future product candidates, including commercial scale manufacturing if any product candidate is approved;</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vonoprazan or any future product candidates;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84" w:lineRule="exact"/>
        <w:rPr>
          <w:rFonts w:ascii="Times New Roman" w:cs="Times New Roman" w:eastAsia="Times New Roman" w:hAnsi="Times New Roman"/>
          <w:sz w:val="18"/>
          <w:szCs w:val="18"/>
          <w:color w:val="auto"/>
        </w:rPr>
      </w:pPr>
    </w:p>
    <w:p>
      <w:pPr>
        <w:ind w:left="900" w:right="52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21" w:lineRule="exact"/>
        <w:rPr>
          <w:rFonts w:ascii="Times New Roman" w:cs="Times New Roman" w:eastAsia="Times New Roman" w:hAnsi="Times New Roman"/>
          <w:sz w:val="18"/>
          <w:szCs w:val="18"/>
          <w:color w:val="auto"/>
        </w:rPr>
      </w:pPr>
    </w:p>
    <w:p>
      <w:pPr>
        <w:ind w:left="900" w:right="26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personnel;</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milestone or other payments we must make to Takeda and any future licensors;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for vonoprazan or any future product candidate;</w:t>
      </w:r>
    </w:p>
    <w:p>
      <w:pPr>
        <w:spacing w:after="0" w:line="184"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21"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28</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8" w:name="page29"/>
    <w:bookmarkEnd w:id="28"/>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equity offerings, the Loan Agreement,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5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Including our existing cash and cash equivalents, including with the net proceeds from our initial public offering which closed on October 29, 2019, we believe that we have sufficient working capital on hand to fund operations such that there is no substantial doubt as to our ability to continue as a going concern at the date the combined financial statements were available to be issued. There can be no assurance that we will be successful in acquiring additional funding, that our projections of its future working capital needs will prove accurate, or that any additional funding would be sufficient to continue operations in future years.</w:t>
      </w:r>
      <w:r>
        <w:rPr>
          <w:rFonts w:ascii="Times New Roman" w:cs="Times New Roman" w:eastAsia="Times New Roman" w:hAnsi="Times New Roman"/>
          <w:sz w:val="18"/>
          <w:szCs w:val="18"/>
          <w:b w:val="1"/>
          <w:bCs w:val="1"/>
          <w:i w:val="1"/>
          <w:iCs w:val="1"/>
          <w:color w:val="auto"/>
        </w:rPr>
        <w:t>Cash Flows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each of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7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w:t>
            </w: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111,875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111,023</w:t>
            </w: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73,605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73,474</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used in operating activities was approximately $0.7 million and $13.1 million for the nine months ended September 30, 2018 and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net cash used in operating activities the nine months ended September 30, 2018 was primarily due to our net loss in each period. The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2019 was due to our net loss of $157.1 million, adjusted for $143.1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charges and a $0.8 million net change in operating assets and liabilities. Noncash charges consisted of our in-process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of $78.9 million related to the Takeda License, $4.9 million related to the change in fair value of convertible promissory notes, $59.0 million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change in fair value of warrant liabilities, and $0.2 million of amortization of debt discounts on our commercial bank debt. The net change in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related to a $2.3 million increase in accrued interest on our outstanding convertible promissory notes and commercial bank debt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increase in accounts payable and accrued expenses in support of the growth in our operating activities, partially offset by a $3.1 million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prepaid clinical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2019 was primarily due to the cash we paid, including transaction costs, to acquire the Takeda License. We had no investing activities for the year ended December 31,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right="240" w:firstLine="761"/>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2018 was primarily due to proceeds from our issuance of convertible promissory notes. Net cash provided by financing activities for the nine months ended September 30, 2019 was $111.9 million, due to $88.3 million of net proceeds from our issuance of convertible promissory notes, $24.9 million of net proceeds from our commercial bank debt and offset by $1.3 million net proceeds related to the IPO.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combined financial statements, which have been prepared in accordance with generally accepted accounting principles in the United States, or GAAP. The preparation of our combined financial statements requires us to make estimates and assumptions that affect the reported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29</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9" w:name="page30"/>
    <w:bookmarkEnd w:id="29"/>
    <w:p>
      <w:pPr>
        <w:ind w:right="60"/>
        <w:spacing w:after="0" w:line="261" w:lineRule="auto"/>
        <w:rPr>
          <w:sz w:val="20"/>
          <w:szCs w:val="20"/>
          <w:color w:val="auto"/>
        </w:rPr>
      </w:pPr>
      <w:r>
        <w:rPr>
          <w:rFonts w:ascii="Times New Roman" w:cs="Times New Roman" w:eastAsia="Times New Roman" w:hAnsi="Times New Roman"/>
          <w:sz w:val="18"/>
          <w:szCs w:val="18"/>
          <w:color w:val="auto"/>
        </w:rPr>
        <w:t>amounts of assets, liabilities and expenses and the disclosure of contingent assets and liabilities in our combined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3"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to our combined financial statements included elsewhere in the Prospectus, we believe that the following accounting policies are the most critical for fully understanding and evaluating our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8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combined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6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49"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02"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We evaluate whether acquired intangible assets are a business under applicable accounting standards. Additionally, we evaluate whether the acquired assets have a future alternative use. Intangible assets that do not have future alternative use, such as the Takeda License,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Warrant Liabilities and Convertible Promissory Notes</w:t>
      </w:r>
    </w:p>
    <w:p>
      <w:pPr>
        <w:spacing w:after="0" w:line="18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described above, our warrant liabilities and convertible promissory notes are revalued at each reporting period with changes in the fair value of the liabilities recorded as a component of other income (expense) in the combined statements of operations. There are significant judgments and estimates inherent in the determination of the fair value of these liabilities. If we had made different assumptions including, among others, those related to the timing and probability of various corporate scenarios, discount rates, volatilities and exit valuations, the carrying values of our warrant liabilities and convertible promissory notes, and our net loss and net loss per common share could have been significantly different.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 Through September 30, 2019, our stock-based compensation expense consisted of our issuance of restricted stock awards, or RSAs, for which the fair value is determined based on the fair value of the underlying common stock and stock options. As of September 30, 2019, unrecognized stock-based compensation expense was $3.8 million, which is expected to be recognized over a weighted-average period of approximately 3.72 years.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30</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combined financial statements may not be comparable to companies that comply with new or revised accounting pronouncements as of public company effective dates.</w:t>
      </w:r>
    </w:p>
    <w:p>
      <w:pPr>
        <w:spacing w:after="0" w:line="14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to our combined financial statements appearing elsewhere in the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under SEC rules.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2"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Our cash and cash equivalents consist of cash in readily available checking accounts and money market funds. As a result, the fair value of our portfolio is relatively insensitive to interest rate changes. Our outstanding convertible promissory notes bear interest at a fixed rate. Our long-term debt bears interest at a variable rate. A 10% increase or decrease in the interest rate on our long-term debt would not have a material effect on our financial position, results of operations or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89"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2019,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Prospectus.</w:t>
      </w:r>
    </w:p>
    <w:p>
      <w:pPr>
        <w:spacing w:after="0" w:line="1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31</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31" w:name="page32"/>
    <w:bookmarkEnd w:id="31"/>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has evaluated the effectiveness of our disclosure controls and </w:t>
      </w: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xml:space="preserve"> as defined in Rules 13a-15(e) and 15d-15(e) under the Exchange Act as of the end of the period covered by this quarterly report. Based </w:t>
      </w:r>
      <w:r>
        <w:rPr>
          <w:rFonts w:ascii="Times New Roman" w:cs="Times New Roman" w:eastAsia="Times New Roman" w:hAnsi="Times New Roman"/>
          <w:sz w:val="18"/>
          <w:szCs w:val="18"/>
          <w:b w:val="1"/>
          <w:bCs w:val="1"/>
          <w:color w:val="auto"/>
        </w:rPr>
        <w:t>on</w:t>
      </w:r>
      <w:r>
        <w:rPr>
          <w:rFonts w:ascii="Times New Roman" w:cs="Times New Roman" w:eastAsia="Times New Roman" w:hAnsi="Times New Roman"/>
          <w:sz w:val="18"/>
          <w:szCs w:val="18"/>
          <w:color w:val="auto"/>
        </w:rPr>
        <w:t xml:space="preserve"> such evaluation, our principal executive officer and principal financial officer have concluded that as of such date, our disclosure controls and procedures were effective at the reasonable assurance level.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5" w:lineRule="exact"/>
        <w:rPr>
          <w:sz w:val="20"/>
          <w:szCs w:val="20"/>
          <w:color w:val="auto"/>
        </w:rPr>
      </w:pPr>
    </w:p>
    <w:p>
      <w:pPr>
        <w:ind w:right="300" w:firstLine="518"/>
        <w:spacing w:after="0" w:line="286" w:lineRule="auto"/>
        <w:rPr>
          <w:sz w:val="20"/>
          <w:szCs w:val="20"/>
          <w:color w:val="auto"/>
        </w:rPr>
      </w:pPr>
      <w:r>
        <w:rPr>
          <w:rFonts w:ascii="Times New Roman" w:cs="Times New Roman" w:eastAsia="Times New Roman" w:hAnsi="Times New Roman"/>
          <w:sz w:val="18"/>
          <w:szCs w:val="18"/>
          <w:color w:val="auto"/>
        </w:rPr>
        <w:t xml:space="preserve">There have been no changes in our internal control </w:t>
      </w:r>
      <w:r>
        <w:rPr>
          <w:rFonts w:ascii="Times New Roman" w:cs="Times New Roman" w:eastAsia="Times New Roman" w:hAnsi="Times New Roman"/>
          <w:sz w:val="18"/>
          <w:szCs w:val="18"/>
          <w:b w:val="1"/>
          <w:bCs w:val="1"/>
          <w:color w:val="auto"/>
        </w:rPr>
        <w:t>over</w:t>
      </w:r>
      <w:r>
        <w:rPr>
          <w:rFonts w:ascii="Times New Roman" w:cs="Times New Roman" w:eastAsia="Times New Roman" w:hAnsi="Times New Roman"/>
          <w:sz w:val="18"/>
          <w:szCs w:val="18"/>
          <w:color w:val="auto"/>
        </w:rPr>
        <w:t xml:space="preserve"> financial reporting during the three months ended September 30, 2019 that have materially affected, or are reasonably likely to materially affect, our internal control over financial reporting.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32</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consider carefully the risks and uncertainties described below, together with all of the other information included in this Quarterly Report on Form 10-Q and in the Prospectus dated October 24, 2019 filed pursuant to Rule 424(b) under the Securities Act with the SEC on October 29, 2019,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8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1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late clinical-stage biopharmaceutical company with a limited operating history upon which you can evaluate our business and prospects. We commenced operations in 2018, and to date, we have focused primarily on organizing and staffing our company, business planning, raising capital, in-licensing our initial product candidate, vonoprazan, meeting with regulatory authorities, and preparing for our planned Phase 3 clinical trials of vonoprazan. As a company, we have not yet demonstrated an ability to successfully complete any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5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If vonoprazan is not successfully developed and approved in the United States, Europe and/or Canada, we may never generate any revenue. We have incurred cumulative net losses since our inception and, as of September 30, 2019, we had an accumulated deficit of $158.4 million. Substantially all of our losses have resulted from expenses incurred in connection with in-licensing and developing vonoprazan and from general and administrative costs associated with our operations. Vonoprazan and any future product candidates will require substantial additional development time and resources before we will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vonoprazan and seek to identify, assess, acquire, in-license, or develop additional product candidates.</w:t>
      </w:r>
    </w:p>
    <w:p>
      <w:pPr>
        <w:spacing w:after="0" w:line="145"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vonoprazan and any future product candidates, obtaining regulatory approval for these product candidates and manufacturing, marketing and selling any products. We are only in the preliminary stages of most of these activities. We may never succeed in these activities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continue our product development efforts, diversify our product candidate pipeline or even continue our operations. A decline in the value of our company could also cause you to lose all or part of your investment.</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33</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3" w:name="page34"/>
    <w:bookmarkEnd w:id="3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32"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We expect our expenses to increase in connection with our ongoing activities, particularly as we conduct our planned Phase 3 clinical trials of vonoprazan and seek regulatory approval for vonoprazan. In addition, if vonoprazan receives approval and is commercialized, we will be required to make milestone and royalty payments to Takeda, from whom we have in-licensed the rights to develop and commercialize vonoprazan in the United States, Europe, and Canada pursuant to the license agreement, dated May 7, 2019, between us and Takeda, or the Takeda License. Furthermore, if and to the extent we seek to acquire or in-license additional product candidates in the future, we may be required to make significant upfront payments, milestone payments, and/or licensing payments. If we obtain regulatory approval for vonoprazan or any future product candidate, we also expect to incur significant commercialization expenses related to product manufacturing, marketing, sales and distribution. Because the outcome of any clinical trial is highly uncertain, we cannot reasonably estimate the actual amounts necessary to successfully complete the development and commercialization of vonoprazan or any future product candidate.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5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our existing cash and cash equivalents, including the proceeds from our IPO, will enable us to fund our operations for at least the next 12 months. In particular, we expect that these funds will allow us to complete our planned Phase 3 clinical trials of vonoprazan in the treatment of erosive esophagitis and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vonoprazan or any future product candidates.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98" w:lineRule="exact"/>
        <w:rPr>
          <w:sz w:val="20"/>
          <w:szCs w:val="20"/>
          <w:color w:val="auto"/>
        </w:rPr>
      </w:pPr>
    </w:p>
    <w:p>
      <w:pPr>
        <w:ind w:left="900" w:right="20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21"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vonoprazan or any future product candidates, including commercial scale manufacturing if any product candidate is approved;</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vonoprazan or any future product candidates;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84" w:lineRule="exact"/>
        <w:rPr>
          <w:rFonts w:ascii="Times New Roman" w:cs="Times New Roman" w:eastAsia="Times New Roman" w:hAnsi="Times New Roman"/>
          <w:sz w:val="18"/>
          <w:szCs w:val="18"/>
          <w:color w:val="auto"/>
        </w:rPr>
      </w:pPr>
    </w:p>
    <w:p>
      <w:pPr>
        <w:ind w:left="900" w:right="52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21" w:lineRule="exact"/>
        <w:rPr>
          <w:rFonts w:ascii="Times New Roman" w:cs="Times New Roman" w:eastAsia="Times New Roman" w:hAnsi="Times New Roman"/>
          <w:sz w:val="18"/>
          <w:szCs w:val="18"/>
          <w:color w:val="auto"/>
        </w:rPr>
      </w:pPr>
    </w:p>
    <w:p>
      <w:pPr>
        <w:ind w:left="900" w:right="52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clinical development personnel and commercial personnel;</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milestone or other payments we must make to Takeda and any future licensors;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vonoprazan or any future product candidate is approved;</w:t>
      </w:r>
    </w:p>
    <w:p>
      <w:pPr>
        <w:spacing w:after="0" w:line="184"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21"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34</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34" w:name="page35"/>
    <w:bookmarkEnd w:id="34"/>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products or technologies that we may in-license or acquire.</w:t>
      </w:r>
    </w:p>
    <w:p>
      <w:pPr>
        <w:spacing w:after="0" w:line="18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Conducting clinical trials and preclinical studies is a time consuming, expensive, and uncertain process that takes years to complete, and we may never generate the necessary data or results required to obtain regulatory approval and achieve product sales. In addition, vonoprazan and other potential product candidates, if approved, may not achieve commercial success. Our commercial revenues, if any, would initially be derived from sales of vonoprazan, which we do not expect to be commercially available in our licensed territories for many years, if at all.</w:t>
      </w:r>
    </w:p>
    <w:p>
      <w:pPr>
        <w:spacing w:after="0" w:line="153"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32" w:lineRule="exact"/>
        <w:rPr>
          <w:sz w:val="20"/>
          <w:szCs w:val="20"/>
          <w:color w:val="auto"/>
        </w:rPr>
      </w:pPr>
    </w:p>
    <w:p>
      <w:pPr>
        <w:ind w:left="380" w:right="360" w:hanging="372"/>
        <w:spacing w:after="0" w:line="269" w:lineRule="auto"/>
        <w:tabs>
          <w:tab w:leader="none" w:pos="38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equity offerings, our loan and security agreement, or the Loan Agreement, with Silicon Valley Bank, or SVB, as administrative and collateral agent, and lenders SVB and WestRiver Innovation Lending Fund VIII, L.P., or WestRiver, debt financings, or other capital sources, including potential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Our Loan Agreement includes, and any future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4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145" w:lineRule="exact"/>
        <w:rPr>
          <w:sz w:val="20"/>
          <w:szCs w:val="20"/>
          <w:color w:val="auto"/>
        </w:rPr>
      </w:pPr>
    </w:p>
    <w:p>
      <w:pPr>
        <w:ind w:left="380" w:right="340" w:hanging="372"/>
        <w:spacing w:after="0" w:line="259" w:lineRule="auto"/>
        <w:tabs>
          <w:tab w:leader="none" w:pos="38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i w:val="1"/>
          <w:iCs w:val="1"/>
          <w:color w:val="auto"/>
        </w:rPr>
        <w:t>Our management, as of December 31, 2018, and our independent registered public accounting firm, in their report on our combined financial statements as of and for the fiscal year ended December 31, 2018, have concluded that there is substantial doubt as to our ability to continue as a going concern.</w:t>
      </w:r>
    </w:p>
    <w:p>
      <w:pPr>
        <w:spacing w:after="0" w:line="141"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Our audited combined financial statements for the fiscal year ended December 31, 2018 were prepared assuming that we will continue as a going concern. The going concern basis of presentation assumes that we will continue in operation for the foreseeable future and will be able to realize our assets and satisfy our liabilities in the normal course of business and do not include any adjustments to reflect the possible future effects on the recoverability and classification of assets or amounts and classification of liabilities that may result from our inability to continue as a going concern. As of December 31, 2018, our management concluded that, based on our expected operating losses, negative cash flows and maturities of outstanding convertible promissory notes, there is substantial doubt about our ability to continue as a going concern for the twelve months after the date the combined financial statements were issued. Our ability to continue as a going concern is subject to our ability to obtain sufficient financing. If we cannot continue as a going concern, we may have to liquidate our assets and may receive less than the value at which those assets are carried on our combined financial statements, and it is likely that our stockholders may lose some or all of their investment in us.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35</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Product Candidates</w:t>
      </w:r>
    </w:p>
    <w:p>
      <w:pPr>
        <w:spacing w:after="0" w:line="198"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vonoprazan, which is our only product candidate. If we are unable to advance vonoprazan in clinical development, obtain regulatory approval and ultimately commercialize vonoprazan, or experience significant delays in doing so, our business will be materially harmed.</w:t>
      </w:r>
    </w:p>
    <w:p>
      <w:pPr>
        <w:spacing w:after="0" w:line="134"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 xml:space="preserve">We currently only have one product candidate, vonoprazan, which we in-licensed from Takeda. Our business presently depends entirely on our ability to successfully develop, obtain regulatory approval for, and commercialize vonoprazan in a timely manner. This may make an investment in our company riskier than similar companies that have multiple product candidates in active development that may be able to better sustain failure of a lead product candidate. We plan to initiate two pivotal Phase 3 clinical trials in the fourth quarter of 2019 for vonoprazan: one for the treatment of erosive esophagitis, and a second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Our assumptions about vonoprazan’s development and commercial potential are based in large part on the development and commercial experience of vonoprazan in Japan and other Asian countries. However, our assumptions may prove to be wrong, and we may encounter a materially and adversely different development and commercial experience. The success of vonoprazan will depend on several factors, including the following:</w:t>
      </w:r>
    </w:p>
    <w:p>
      <w:pPr>
        <w:spacing w:after="0" w:line="145" w:lineRule="exact"/>
        <w:rPr>
          <w:sz w:val="20"/>
          <w:szCs w:val="20"/>
          <w:color w:val="auto"/>
        </w:rPr>
      </w:pPr>
    </w:p>
    <w:p>
      <w:pPr>
        <w:ind w:left="900" w:right="84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by comparable foreign regulatory authorities of our proposed design of the planned Phase 3 clinical trials of vonoprazan and any future clinical trials;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clinical trials and completion of clinical trials with favorable results;</w:t>
      </w:r>
    </w:p>
    <w:p>
      <w:pPr>
        <w:spacing w:after="0" w:line="184" w:lineRule="exact"/>
        <w:rPr>
          <w:rFonts w:ascii="Times New Roman" w:cs="Times New Roman" w:eastAsia="Times New Roman" w:hAnsi="Times New Roman"/>
          <w:sz w:val="18"/>
          <w:szCs w:val="18"/>
          <w:color w:val="auto"/>
        </w:rPr>
      </w:pPr>
    </w:p>
    <w:p>
      <w:pPr>
        <w:ind w:left="900" w:right="20" w:hanging="379"/>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the European Medicines Agency, or EMA, and other comparable foreign regulatory authorities to accept the data from our planned Phase 3 clinical trials conducted in Europe and preclinical studies and clinical trials conducted outside of our licensed territories by Takeda and independent investigators as part of the basis for review and approval of vonoprazan</w:t>
      </w:r>
    </w:p>
    <w:p>
      <w:pPr>
        <w:spacing w:after="0" w:line="13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84" w:lineRule="exact"/>
        <w:rPr>
          <w:rFonts w:ascii="Times New Roman" w:cs="Times New Roman" w:eastAsia="Times New Roman" w:hAnsi="Times New Roman"/>
          <w:sz w:val="18"/>
          <w:szCs w:val="18"/>
          <w:color w:val="auto"/>
        </w:rPr>
      </w:pPr>
    </w:p>
    <w:p>
      <w:pPr>
        <w:ind w:left="900" w:right="64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comparable foreign regulatory authorities;</w:t>
      </w:r>
    </w:p>
    <w:p>
      <w:pPr>
        <w:spacing w:after="0" w:line="121"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one or more new drug applications, or NDAs, from the FDA and maintaining such approvals;</w:t>
      </w:r>
    </w:p>
    <w:p>
      <w:pPr>
        <w:spacing w:after="0" w:line="121" w:lineRule="exact"/>
        <w:rPr>
          <w:rFonts w:ascii="Times New Roman" w:cs="Times New Roman" w:eastAsia="Times New Roman" w:hAnsi="Times New Roman"/>
          <w:sz w:val="18"/>
          <w:szCs w:val="18"/>
          <w:color w:val="auto"/>
        </w:rPr>
      </w:pPr>
    </w:p>
    <w:p>
      <w:pPr>
        <w:ind w:left="900" w:right="60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Takeda or any future third-party manufacturers for, or establishing, commercial manufacturing capabilities and receiving/importing commercial supplies approved by FDA and other regulators from Takeda or any future third-party manufacturer;</w:t>
      </w:r>
    </w:p>
    <w:p>
      <w:pPr>
        <w:spacing w:after="0" w:line="121"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commercializing vonoprazan, if approved, whether alone or in collaboration with others;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or regulatory exclusivity for vonoprazan;</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vonoprazan following approval; and</w:t>
      </w:r>
    </w:p>
    <w:p>
      <w:pPr>
        <w:spacing w:after="0" w:line="184"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vonoprazan to physicians, patients, healthcare payors, and others in the medical community.</w:t>
      </w:r>
    </w:p>
    <w:p>
      <w:pPr>
        <w:spacing w:after="0" w:line="121" w:lineRule="exact"/>
        <w:rPr>
          <w:sz w:val="20"/>
          <w:szCs w:val="20"/>
          <w:color w:val="auto"/>
        </w:rPr>
      </w:pPr>
    </w:p>
    <w:p>
      <w:pPr>
        <w:ind w:right="80" w:firstLine="518"/>
        <w:spacing w:after="0" w:line="277" w:lineRule="auto"/>
        <w:rPr>
          <w:sz w:val="20"/>
          <w:szCs w:val="20"/>
          <w:color w:val="auto"/>
        </w:rPr>
      </w:pPr>
      <w:r>
        <w:rPr>
          <w:rFonts w:ascii="Times New Roman" w:cs="Times New Roman" w:eastAsia="Times New Roman" w:hAnsi="Times New Roman"/>
          <w:sz w:val="17"/>
          <w:szCs w:val="17"/>
          <w:color w:val="auto"/>
        </w:rPr>
        <w:t>The success of our business, including our ability to finance our company and generate any revenue in the future, will primarily depend on the successful development, regulatory approval and commercialization of vonoprazan, which may never occur. We have not yet succeeded and may not succeed in demonstrating efficacy and safety for vonoprazan in clinical trials or in obtaining marketing approval thereafter. It may be several years, if at all, before we have demonstrated the safety and efficacy of a treatment sufficient to warrant approval for commercialization. If we are unable to develop, or obtain regulatory approval for, or, if approved, successfully commercialize vonoprazan, we may not be able to generate sufficient revenue to continue our business.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36</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36" w:name="page37"/>
    <w:bookmarkEnd w:id="36"/>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the results of prior clinical trials and other investigator-initiated clinical trials of vonoprazan are not necessarily predictive of our future results. Vonoprazan may not have favorable results in our clinical trials, or receive regulatory approval on a timely basis, if at all.</w:t>
      </w:r>
    </w:p>
    <w:p>
      <w:pPr>
        <w:spacing w:after="0" w:line="14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spacing w:after="0" w:line="140"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results from clinical trials or preclinical studies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vonoprazan has been studied in an extensive clinical program by Takeda, including 17 Phase 3 clinical trials, we do not know how vonoprazan will perform in future clinical trials, including as a result of differences between the clinical trials conducted to date by Takeda or other third parties and our planned Phase 3 clinical trial designs. These differences include, among other things: including higher doses of antibiotics and longer duration of treatment and inclusion of a dual therapy arm in our planned Phase 3 clinical trial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and conducting a single Phase 3 clinical trial for both the healing and maintenance of erosive esophagitis, rather than two separate trials. Further, the large majority of the clinical development of vonoprazan was conducted in Asian subjects, who naturally have differences in height, weight, drug metabolism, and potentially, acid-secretory capacity from Western populations. Although there are data across two Phase 1 clinical trials in healthy volunteers showing that the vonoprazan pharmacokinetic and pharmacodynamic profile is similar in Japanese and non-Japanese subjects, our clinical trials of vonoprazan in a broader population comprised of patients in the United States and Europe may not yield the same results as prior clinical trials. Additionally, Western patients may be more likely to deviate from clinical trial protocols or drop out of clinical trials than Japanese patients, which may negatively impact the results of our clinical trials. Further, in our planned Phase 3 clinical trial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the vonoprazan dual therapy arm will not be double-blinded because patients in this arm will be administered amoxicillin three times daily, versus twice daily for the triple therapy regimens. Both triple therapy regimens will be double-blinded. The inability to double-blind the dual therapy arm may impact the results of this trial and how regulatory agencies or healthcare payors interpret such results. For example, the EMA has noted that it expects additional analyses of treatment compliance and drop-out rates in the dual therapy arm because it will not be double-blinded.</w:t>
      </w:r>
    </w:p>
    <w:p>
      <w:pPr>
        <w:spacing w:after="0" w:line="154"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A number of companies in the pharmaceutical and biotechnology industries have suffered significant setbacks in clinical development even after the product candidate achieved promising results in earlier clinical trials. The results of our planned trials may not be comparable to those achieved previously, whether as a result of differences in trial design, patient population or otherwise.</w:t>
      </w:r>
    </w:p>
    <w:p>
      <w:pPr>
        <w:spacing w:after="0" w:line="14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Further, the FDA, the EMA, or other comparable foreign regulatory authorities may not view the data from clinical trials conducted by Takeda and other third parties discussed above, together with our single planned Phase 3 clinical trial in each of erosive esophagitis and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as sufficient to support the regulatory approval of vonoprazan for the treatment of erosive esophagitis or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The FDA, EMA, or other comparable foreign regulatory authorities may also disagree with the adequacy of our trial designs, including as a result of the differences between our designs and those of Takeda’s Phase 3 clinical trials discussed above. As a result, we could be required to conduct additional clinical trials prior to seeking and obtaining regulatory approval and our planned development timeline could materially change. In addition, in July 2019, we received scientific advice from the EMA on our planned Phase 3 clinical trial of vonoprazan in the healing and maintenance of healing of erosive esophagitis. For the healing phase of the study, the EMA recommended that we include an endoscopy to assess healing at Week 4 in addition to the planned endoscopies at Week 2 and Week 8 because the summary of product characteristics for lansoprazole suggests four weeks of treatment to assess healing in erosive esophagitis. We have decided not to incorporate this change into the study design given the additional burden on study subjects to return for a third endoscopy in an eight-week period. This decision may impact the future summary of product characteristics for vonoprazan or may cause the EMA to require us to conduct additional clinical trials for vonoprazan to support marketing approval.</w:t>
      </w:r>
    </w:p>
    <w:p>
      <w:pPr>
        <w:spacing w:after="0" w:line="150"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In addition, Takeda, a third party over which we have no control, has the right to develop and commercialize vonoprazan outside of the United States, Europe, and Canada. Takeda has marketing approval for vonoprazan in certain countries in Asia and Latin America, and Takeda has ongoing clinical trials of vonoprazan in certain indications that we are also pursuing. If such ongoing trials fail to meet their primary endpoints, have serious adverse events or encounter other problems, the development potential of vonoprazan could be materially and adversely affected. In addition, if serious adverse events or other problems occur with patients using vonoprazan marketed outside of our licensed territories, or if the results of ongoing or future clinical trials of vonoprazan conducted by Takeda or others generate negative results or results that conflict with the results of our clinical trials, the FDA, EMA, or other regulatory authorities may delay, limit, or deny approval of vonoprazan, require us to conduct additional clinical trials as a condition to marketing approval, or withdraw their approval of vonoprazan or otherwise restrict our ability to market and sell vonoprazan, if approved. In addition, treating physicians may be less willing to prescribe vonoprazan due to concerns over such trial results or adverse events, which would limit our ability to commercialize vonoprazan.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37</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37" w:name="page38"/>
    <w:bookmarkEnd w:id="37"/>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For the foregoing reasons, our planned clinical trials may not be successful. Any safety concerns observed in any one of our clinical trials in our targeted indications could limit the prospects for regulatory approval of vonoprazan or any future product candidates in those and other indications, which could have a material adverse effect on our business, financial condition and results of operations.</w:t>
      </w:r>
    </w:p>
    <w:p>
      <w:pPr>
        <w:spacing w:after="0" w:line="1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1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 xml:space="preserve">Before obtaining marketing approval from regulatory authorities for the sale of vonoprazan or any future product candidates, we must conduct extensive clinical trials to demonstrate the safety and efficacy of vonoprazan or any future product candidates in humans. In August 2019, we submitted three separate INDs to the FDA for vonoprazan: one for erosive esophagitis; a second for dual therapy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and a third for triple therapy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These three INDs were accepted by the FDA in September 2019. We plan to initiate two pivotal Phase 3 clinical trials in the fourth quarter of 2019 for vonoprazan: one for the treatment of erosive esophagitis and a second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w:t>
      </w:r>
    </w:p>
    <w:p>
      <w:pPr>
        <w:spacing w:after="0" w:line="143"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will have to submit the results of preclinical studies to the FDA along with other information, including information about product candidate chemistry, manufacturing and controls and our proposed clinical trial protocol, as part of an IND for any future product candidates that we advance to clinical development, and we may also be required to submit regulatory filings to foreign regulatory authorities to the extent we initiate clinical trials outside of the United States.</w:t>
      </w:r>
    </w:p>
    <w:p>
      <w:pPr>
        <w:spacing w:after="0" w:line="153"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trials will begin on time or be completed on schedule, if at all. The commencement and completion of clinical trials can be delayed for a number of reasons, including delays related to:</w:t>
      </w:r>
    </w:p>
    <w:p>
      <w:pPr>
        <w:spacing w:after="0" w:line="121" w:lineRule="exact"/>
        <w:rPr>
          <w:sz w:val="20"/>
          <w:szCs w:val="20"/>
          <w:color w:val="auto"/>
        </w:rPr>
      </w:pPr>
    </w:p>
    <w:p>
      <w:pPr>
        <w:ind w:left="900" w:right="36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disagreeing as to the design or implementation of our clinical trials and reaching consensus among the FDA and EMA over the design of the same clinical trial;</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obtaining regulatory authorizations to commence a trial;</w:t>
      </w:r>
    </w:p>
    <w:p>
      <w:pPr>
        <w:spacing w:after="0" w:line="184" w:lineRule="exact"/>
        <w:rPr>
          <w:rFonts w:ascii="Times New Roman" w:cs="Times New Roman" w:eastAsia="Times New Roman" w:hAnsi="Times New Roman"/>
          <w:sz w:val="18"/>
          <w:szCs w:val="18"/>
          <w:color w:val="auto"/>
        </w:rPr>
      </w:pPr>
    </w:p>
    <w:p>
      <w:pPr>
        <w:ind w:left="900" w:right="34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121" w:lineRule="exact"/>
        <w:rPr>
          <w:rFonts w:ascii="Times New Roman" w:cs="Times New Roman" w:eastAsia="Times New Roman" w:hAnsi="Times New Roman"/>
          <w:sz w:val="18"/>
          <w:szCs w:val="18"/>
          <w:color w:val="auto"/>
        </w:rPr>
      </w:pPr>
    </w:p>
    <w:p>
      <w:pPr>
        <w:ind w:left="900" w:right="24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review boards, or IRBs, refusing to approve, suspending or terminating the trial at an investigational site, precluding enrollment of additional subjects, or withdrawing their approval of the trial;</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protocols or dropping out of a trial;</w:t>
      </w:r>
    </w:p>
    <w:p>
      <w:pPr>
        <w:spacing w:after="0" w:line="184" w:lineRule="exact"/>
        <w:rPr>
          <w:rFonts w:ascii="Times New Roman" w:cs="Times New Roman" w:eastAsia="Times New Roman" w:hAnsi="Times New Roman"/>
          <w:sz w:val="18"/>
          <w:szCs w:val="18"/>
          <w:color w:val="auto"/>
        </w:rPr>
      </w:pPr>
    </w:p>
    <w:p>
      <w:pPr>
        <w:ind w:left="900" w:right="280" w:hanging="379"/>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manufacturing or obtaining sufficient quantities of vonoprazan and any future product candidates and obtaining sufficient quantities of lansoprazole, which will be used in both of our planned Phase 3 clinical trials, and/or antibiotics for use in clinical trials, including amoxicillin and clarithromycin, which will be used in our planned Phase 3 clinical trial of vonoprazan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w:t>
      </w:r>
    </w:p>
    <w:p>
      <w:pPr>
        <w:spacing w:after="0" w:line="13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 treatment follow-up;</w:t>
      </w:r>
    </w:p>
    <w:p>
      <w:pPr>
        <w:spacing w:after="0" w:line="184" w:lineRule="exact"/>
        <w:rPr>
          <w:rFonts w:ascii="Times New Roman" w:cs="Times New Roman" w:eastAsia="Times New Roman" w:hAnsi="Times New Roman"/>
          <w:sz w:val="18"/>
          <w:szCs w:val="18"/>
          <w:color w:val="auto"/>
        </w:rPr>
      </w:pPr>
    </w:p>
    <w:p>
      <w:pPr>
        <w:ind w:left="900" w:right="52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 for which we are developing vonoprazan and any future product candidates, or participating in competing clinical trials;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84" w:lineRule="exact"/>
        <w:rPr>
          <w:rFonts w:ascii="Times New Roman" w:cs="Times New Roman" w:eastAsia="Times New Roman" w:hAnsi="Times New Roman"/>
          <w:sz w:val="18"/>
          <w:szCs w:val="18"/>
          <w:color w:val="auto"/>
        </w:rPr>
      </w:pPr>
    </w:p>
    <w:p>
      <w:pPr>
        <w:ind w:left="900" w:right="120" w:hanging="379"/>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vonoprazan or any future product candidates or any of their components being ordered by the FDA or comparable foreign regulatory authorities to temporarily or permanently shut down due to violations of current good manufacturing, or cGMP, regulations or other applicable requirements, or infections or cross-contaminations of product candidates in the manufacturing process;</w:t>
      </w:r>
    </w:p>
    <w:p>
      <w:pPr>
        <w:spacing w:after="0" w:line="13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38</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8" w:name="page39"/>
    <w:bookmarkEnd w:id="38"/>
    <w:p>
      <w:pPr>
        <w:ind w:left="900" w:right="320" w:hanging="379"/>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184" w:lineRule="exact"/>
        <w:rPr>
          <w:rFonts w:ascii="Times New Roman" w:cs="Times New Roman" w:eastAsia="Times New Roman" w:hAnsi="Times New Roman"/>
          <w:sz w:val="18"/>
          <w:szCs w:val="18"/>
          <w:color w:val="auto"/>
        </w:rPr>
      </w:pPr>
    </w:p>
    <w:p>
      <w:pPr>
        <w:ind w:left="900" w:right="80" w:hanging="379"/>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3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5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vonoprazan 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40"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currently serve and may continue to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vonoprazan or any future product candidates.</w:t>
      </w:r>
    </w:p>
    <w:p>
      <w:pPr>
        <w:spacing w:after="0" w:line="14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vonoprazan or any future product candidates, the commercial prospects of vonoprazan and any future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53"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vonoprazan or any future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vonoprazan or any future product candidates and our competitors may be able to bring products to market before we do, and the commercial viability of vonoprazan and any future product candidates could be significantly reduced. Any of these occurrences may harm our business, financial condition, and prospects significantly.</w:t>
      </w:r>
    </w:p>
    <w:p>
      <w:pPr>
        <w:spacing w:after="0" w:line="1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1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vonoprazan or any future product candidates if we are unable to identify and enroll a sufficient number of eligible patients to participate in these trials as required by the FDA or similar regulatory authorities outside the United States. Subject enrollment, a significant factor in the timing of clinical trials, is affected by many factors including the size and nature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39</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9" w:name="page40"/>
    <w:bookmarkEnd w:id="39"/>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new drugs that may be approved for the indications we are investigating as well as any drugs under development. We will be required to identify and enroll a sufficient number of patients for each of our clinical trials. Potential patients for any planned clinical trials may not be adequately diagnosed or identified with the diseases which we are targeting or may not meet the entry criteria for such trials. For example, a key secondary analysis in our planned Phase 3 clinical trial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is the eradication rate in clarithromycin-resistant patients. However, because the process of assessing antibiotic resistance to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takes several weeks, we believe it is not practical to use resistance as an enrollment criteria in our clinical trial. Therefore, the percentage of clarithromycin-resistant patients enrolled in this clinical trial is unpredictable and may affect the results of the trial. We also may encounter difficulties in identifying and enrolling patients with a stage of disease appropriate for our planned clinical trials and monitoring such patients adequately during and after treatment. For example, in our Phase 3 clinical trial of vonoprazan in erosive esophagitis, we intend for 30% of the patients to have Los Angeles Class C or D erosive esophagitis, which are the most severe forms of erosive esophagitis and are estimated to only represent approximately 10 to 20% of erosive esophagitis patients.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 as these patients are required to undergo an endoscopy before being diagnosed as having Los Angeles Class C or D erosive esophagitis.</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if they are unwilling to enroll in a clinical trial with a placebo-controlled design or the availability of approved therapies, or we otherwise have difficulty enrolling a sufficient number of patients, the timeline for recruiting patients, conducting trials and obtaining regulatory approval of vonoprazan and any future product candidates may be delayed. Our inability to enroll a sufficient number of patients for any of our future clinical trials would result in significant delays or may require us to abandon one or more clinical trials altogether.</w:t>
      </w:r>
    </w:p>
    <w:p>
      <w:pPr>
        <w:spacing w:after="0" w:line="149" w:lineRule="exact"/>
        <w:rPr>
          <w:sz w:val="20"/>
          <w:szCs w:val="20"/>
          <w:color w:val="auto"/>
        </w:rPr>
      </w:pPr>
    </w:p>
    <w:p>
      <w:pPr>
        <w:jc w:val="both"/>
        <w:ind w:right="220" w:firstLine="518"/>
        <w:spacing w:after="0" w:line="282" w:lineRule="auto"/>
        <w:rPr>
          <w:sz w:val="20"/>
          <w:szCs w:val="20"/>
          <w:color w:val="auto"/>
        </w:rPr>
      </w:pPr>
      <w:r>
        <w:rPr>
          <w:rFonts w:ascii="Times New Roman" w:cs="Times New Roman" w:eastAsia="Times New Roman" w:hAnsi="Times New Roman"/>
          <w:sz w:val="18"/>
          <w:szCs w:val="18"/>
          <w:color w:val="auto"/>
        </w:rPr>
        <w:t>Our assumptions used in determining expected clinical trial timelines may not be correct, and we may experience delays in enrollment, which would result in the delay of completion of such trials beyond our expected timelines.</w:t>
      </w:r>
    </w:p>
    <w:p>
      <w:pPr>
        <w:spacing w:after="0" w:line="117"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vonoprazan or any future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48"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vonoprazan’s or any future product candidates’ use. Results of our clinical trials could reveal a high and unacceptable severity and prevalence of side effects or unexpected characteristics. Undesirable side effects caused by vonoprazan and any future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4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Moreover, if vonoprazan or any other future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clinical trials.</w:t>
      </w:r>
    </w:p>
    <w:p>
      <w:pPr>
        <w:spacing w:after="0" w:line="14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As of December 2018, 6,683 subjects have been exposed to vonoprazan in completed and ongoing Phase 1 to 3 clinical trials. The doses studied have ranged from 1 to 120 mg with durations up to one year. The most commonly reported AEs in the clinical development program for vonoprazan, as reflected in the Japanese prescribing information published by Japan’s Pharmaceutical and Medical Devices Agency, or PMDA, were diarrhea, constipation, nausea, elevated liver enzymes, rash, and eosinophilia. All such events had an incidence rate of less than 5.0% other than diarrhea in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which had an incidence rate of 10.6% in combination with antibiotics. No dose- related increase in TEAEs or SAEs was observed. The safety profile of vonoprazan and incidence of TEAEs, drug-related TEAEs, and TEAEs leading to drug discontinuation were similar between vonoprazan and lansoprazole across studies.</w:t>
      </w:r>
    </w:p>
    <w:p>
      <w:pPr>
        <w:spacing w:after="0" w:line="161"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Certain earlier generation P-CABs previously under development by other companies may have been discontinued in part due to their hepatic safety profile. These hepatic safety concerns may be compound-specific and not generalizable to the P-CAB class. Vonoprazan has had a similar hepatic safety profile to lansoprazole across all clinical studies conducted by Takeda, in which 1.0% of subjects treated with vonoprazan 10 mg or 20 mg and 0.8% of subjects treated with lansoprazole 15 mg or 30 mg had ALT or AST elevations greater than three times the upper limit of normal or bilirubin elevations greater than two times the upper limit of normal.</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40</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0" w:name="page41"/>
    <w:bookmarkEnd w:id="40"/>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most recent post-marketing safety report from December 2018 includes an estimated 23 million patients who have received vonoprazan in Japan since launch. Based on the post-marketing experience, the clinically significant adverse reactions section of the Japanese prescribing information for vonoprazan was updated to include skin reactions such as toxic epidermal necrolysis, Steven- Johnson syndrome, and erythema multiforme. The incidence of these skin reactions was considered extremely rare (less than 1 in 100,000 patients) and a causal relationship to vonoprazan could not be ruled out.</w:t>
      </w:r>
    </w:p>
    <w:p>
      <w:pPr>
        <w:spacing w:after="0" w:line="153"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Serious hepatic adverse events have also been observed among patients exposed to vonoprazan in Japan in the post-marketing setting. These cases were typically confounded by comorbidities or other concomitant medications and are believed to be idiosyncratic reactions. The incidence of these events was considered extremely rare (less than 1 in 100,000 patients). The post-marketing safety data, including the December 2018 post-marketing safety report and the reported hepatic safety events, have been submitted to the PMDA. To date, there have been no changes to the Japan prescribing information related to hepatic safety. We may also observe hepatic-related events in our clinical trials.</w:t>
      </w:r>
    </w:p>
    <w:p>
      <w:pPr>
        <w:spacing w:after="0" w:line="143"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It is possible that as we test vonoprazan and any future product candidates in our clinical trials, or as the use of vonoprazan and any future product candidates becomes more widespread if they receive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and prospects significantly. Further, if a serious safety issue is identified in connection with use of vonoprazan commercially or in third-party clinical trials in Asia or elsewhere, such issues may adversely affect the development potential of vonoprazan or result in regulatory authorities restricting our ability to develop vonoprazan.</w:t>
      </w:r>
    </w:p>
    <w:p>
      <w:pPr>
        <w:spacing w:after="0" w:line="147"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In addition, if vonoprazan or any future product candidate receives marketing approval, and we or others later identify undesirable side effects caused by such products, a number of potentially significant negative consequences could result, including:</w:t>
      </w:r>
    </w:p>
    <w:p>
      <w:pPr>
        <w:spacing w:after="0" w:line="135" w:lineRule="exact"/>
        <w:rPr>
          <w:sz w:val="20"/>
          <w:szCs w:val="20"/>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manufacturer;</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184"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121" w:lineRule="exact"/>
        <w:rPr>
          <w:rFonts w:ascii="Times New Roman" w:cs="Times New Roman" w:eastAsia="Times New Roman" w:hAnsi="Times New Roman"/>
          <w:sz w:val="18"/>
          <w:szCs w:val="18"/>
          <w:color w:val="auto"/>
        </w:rPr>
      </w:pPr>
    </w:p>
    <w:p>
      <w:pPr>
        <w:ind w:left="900" w:right="54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we have never conducted a clinical trial or submitted an NDA or comparable foreign regulatory filing, and may be unable to do so for vonoprazan or any future product candidates.</w:t>
      </w:r>
    </w:p>
    <w:p>
      <w:pPr>
        <w:spacing w:after="0" w:line="118"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We are early in our development efforts for vonoprazan, and we will need to successfully complete pivotal clinical trials in order to obtain FDA, EMA or comparable foreign regulatory approval to market vonoprazan or any future product candidates. Carrying out late-stage clinical trials and the submission of a successful new drug application, or NDA, is a complicated process. As an organization, we plan to commence pivotal Phase 3 clinical trials of vonoprazan in erosive esophagitis and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in the fourth quarter of 2019. We have not yet conducted any clinical trials for vonoprazan or any other product candidates and have limited experience as a company in preparing, submitting and prosecuting regulatory filings. As a company, we have not previously submitted an NDA, whether for one or multiple indications, or other comparable foreign regulatory submission for any product candidate. In addition, we have had limited interactions with the FDA and cannot be certain how many clinical trials of vonoprazan or any other product candidates will be required or how such trials should be designed. Consequently, we may be unable to successfully and efficiently execute and complete necessary clinical trials in a way that leads to regulatory submission and approval of vonoprazan or any future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NDAs for and commercializing vonoprazan or any future product candidates.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41</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1" w:name="page42"/>
    <w:bookmarkEnd w:id="41"/>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Vonoprazan and any future product candidates are subject to extensive regulation and compliance obligations, which is costly and time consuming, and such regulation may cause unanticipated delays or prevent the receipt of the required approvals to commercialize vonoprazan and any future product candidates.</w:t>
      </w:r>
    </w:p>
    <w:p>
      <w:pPr>
        <w:spacing w:after="0" w:line="148"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vonoprazan and any future product candidates are subject to extensive regulation by the FDA in the United States, the EMA in the European Union and by comparable foreign regulatory authorities in other foreign markets. In the United States, we are not permitted to market vonoprazan and any future product candidates until we receive regulatory approval from the FDA and in Europe, we are not permitted to market vonoprazan and any future product candidates until we receive regulatory approval from the EMA.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and EMA to review and approve new products can be affected by a variety of factors, including government budget and funding levels and the ability to hire and retain key personnel. In addition, approval policies or regulations may change, and the FDA and EMA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spacing w:after="0" w:line="14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internationally,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vonoprazan and any future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vonoprazan and any future product candidates either prior to or post- approval, or may object to elements of our clinical development program.</w:t>
      </w:r>
    </w:p>
    <w:p>
      <w:pPr>
        <w:spacing w:after="0" w:line="149"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FDA, EMA or other comparable foreign regulatory authorities can delay, limit or deny approval of a product candidate for many reasons, including:</w:t>
      </w:r>
    </w:p>
    <w:p>
      <w:pPr>
        <w:spacing w:after="0" w:line="135" w:lineRule="exact"/>
        <w:rPr>
          <w:sz w:val="20"/>
          <w:szCs w:val="20"/>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EMA, or other comparable foreign regulatory agencies for approval;</w:t>
      </w:r>
    </w:p>
    <w:p>
      <w:pPr>
        <w:spacing w:after="0" w:line="121" w:lineRule="exact"/>
        <w:rPr>
          <w:rFonts w:ascii="Times New Roman" w:cs="Times New Roman" w:eastAsia="Times New Roman" w:hAnsi="Times New Roman"/>
          <w:sz w:val="18"/>
          <w:szCs w:val="18"/>
          <w:color w:val="auto"/>
        </w:rPr>
      </w:pPr>
    </w:p>
    <w:p>
      <w:pPr>
        <w:ind w:left="900" w:right="10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in clinical trials conducted by Takeda or others outside of our licensed territories, or by patients using vonoprazan or drugs similar to vonoprazan;</w:t>
      </w:r>
    </w:p>
    <w:p>
      <w:pPr>
        <w:spacing w:after="0" w:line="121" w:lineRule="exact"/>
        <w:rPr>
          <w:rFonts w:ascii="Times New Roman" w:cs="Times New Roman" w:eastAsia="Times New Roman" w:hAnsi="Times New Roman"/>
          <w:sz w:val="18"/>
          <w:szCs w:val="18"/>
          <w:color w:val="auto"/>
        </w:rPr>
      </w:pPr>
    </w:p>
    <w:p>
      <w:pPr>
        <w:ind w:left="900" w:right="100" w:hanging="379"/>
        <w:spacing w:after="0" w:line="282" w:lineRule="auto"/>
        <w:tabs>
          <w:tab w:leader="none" w:pos="9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the population studied in the clinical </w:t>
      </w:r>
      <w:r>
        <w:rPr>
          <w:rFonts w:ascii="Times New Roman" w:cs="Times New Roman" w:eastAsia="Times New Roman" w:hAnsi="Times New Roman"/>
          <w:sz w:val="18"/>
          <w:szCs w:val="18"/>
          <w:color w:val="231F20"/>
        </w:rPr>
        <w:t>trial may not be sufficiently broad or representative to assure safety in the full population for which we seek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approval;</w:t>
      </w:r>
    </w:p>
    <w:p>
      <w:pPr>
        <w:spacing w:after="0" w:line="121" w:lineRule="exact"/>
        <w:rPr>
          <w:rFonts w:ascii="Times New Roman" w:cs="Times New Roman" w:eastAsia="Times New Roman" w:hAnsi="Times New Roman"/>
          <w:sz w:val="18"/>
          <w:szCs w:val="18"/>
          <w:color w:val="231F20"/>
        </w:rPr>
      </w:pPr>
    </w:p>
    <w:p>
      <w:pPr>
        <w:ind w:left="900" w:right="40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21" w:lineRule="exact"/>
        <w:rPr>
          <w:rFonts w:ascii="Times New Roman" w:cs="Times New Roman" w:eastAsia="Times New Roman" w:hAnsi="Times New Roman"/>
          <w:sz w:val="18"/>
          <w:szCs w:val="18"/>
          <w:color w:val="auto"/>
        </w:rPr>
      </w:pPr>
    </w:p>
    <w:p>
      <w:pPr>
        <w:ind w:left="900" w:right="26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such authorities that a product candidate is safe and effective for its proposed indication and that a product candidate’s clinical and other benefits outweigh its safety risks;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84" w:lineRule="exact"/>
        <w:rPr>
          <w:rFonts w:ascii="Times New Roman" w:cs="Times New Roman" w:eastAsia="Times New Roman" w:hAnsi="Times New Roman"/>
          <w:sz w:val="18"/>
          <w:szCs w:val="18"/>
          <w:color w:val="auto"/>
        </w:rPr>
      </w:pPr>
    </w:p>
    <w:p>
      <w:pPr>
        <w:ind w:left="900" w:right="80" w:hanging="379"/>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vonoprazan, including data collected from clinical trials conducted by Takeda and independent investigators outside of our licensed territories, and any future product candidates are acceptable or sufficient to support the submission of an NDA or other submission or to obtain regulatory approval, and such authorities may impose requirements for additional preclinical studies or clinical trials;</w:t>
      </w:r>
    </w:p>
    <w:p>
      <w:pPr>
        <w:spacing w:after="0" w:line="139"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vonoprazan and any future product candidates;</w:t>
      </w:r>
    </w:p>
    <w:p>
      <w:pPr>
        <w:spacing w:after="0" w:line="184"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42</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42" w:name="page43"/>
    <w:bookmarkEnd w:id="42"/>
    <w:p>
      <w:pPr>
        <w:ind w:left="900" w:right="2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Takeda or any future third-party manufacturers with which we contract for clinical and commercial supplies;</w:t>
      </w:r>
    </w:p>
    <w:p>
      <w:pPr>
        <w:spacing w:after="0" w:line="121" w:lineRule="exact"/>
        <w:rPr>
          <w:rFonts w:ascii="Times New Roman" w:cs="Times New Roman" w:eastAsia="Times New Roman" w:hAnsi="Times New Roman"/>
          <w:sz w:val="18"/>
          <w:szCs w:val="18"/>
          <w:color w:val="auto"/>
        </w:rPr>
      </w:pPr>
    </w:p>
    <w:p>
      <w:pPr>
        <w:ind w:left="900" w:right="5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such authorities may significantly change in a manner rendering our or any of our potential future collaborators’ clinical data insufficient for approval; or</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185"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EMA, and other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vonoprazan and any future product candidates.</w:t>
      </w:r>
    </w:p>
    <w:p>
      <w:pPr>
        <w:spacing w:after="0" w:line="16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vonoprazan and any future product candidates, which would significantly harm our business, financial condition, results of operations and prospects.</w:t>
      </w:r>
    </w:p>
    <w:p>
      <w:pPr>
        <w:spacing w:after="0" w:line="14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foreign marketing application for vonoprazan and any future product candidates, the FDA, EMA or other comparable foreign regulatory authority may grant approval contingent on the performance of costly additional clinical trials, including confirmatory Phase 3 clinical trials, Phase 4 clinical trials, and/or the implementation of a REMS, which may be required to ensure safe use of the drug after approval. The FDA, EMA or other comparable foreign regulatory authority also may approve a product candidate for a more limited indication or patient population than we originally requested, and the FDA, EMA or other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14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Designation of vonoprazan as a QIDP, and the potential to receive priority review or fast track designations, may not actually lead to a faster development or regulatory review, and would not assure FDA approval of vonoprazan or any future product candidates which may receive such designations.</w:t>
      </w:r>
    </w:p>
    <w:p>
      <w:pPr>
        <w:spacing w:after="0" w:line="107" w:lineRule="exact"/>
        <w:rPr>
          <w:sz w:val="20"/>
          <w:szCs w:val="20"/>
          <w:color w:val="auto"/>
        </w:rPr>
      </w:pPr>
    </w:p>
    <w:p>
      <w:pPr>
        <w:ind w:right="60" w:firstLine="518"/>
        <w:spacing w:after="0" w:line="272" w:lineRule="auto"/>
        <w:rPr>
          <w:sz w:val="20"/>
          <w:szCs w:val="20"/>
          <w:color w:val="auto"/>
        </w:rPr>
      </w:pPr>
      <w:r>
        <w:rPr>
          <w:rFonts w:ascii="Times New Roman" w:cs="Times New Roman" w:eastAsia="Times New Roman" w:hAnsi="Times New Roman"/>
          <w:sz w:val="17"/>
          <w:szCs w:val="17"/>
          <w:color w:val="auto"/>
        </w:rPr>
        <w:t xml:space="preserve">Vonoprazan has been designated as a QIDP by the FDA for the treatment of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infection in combination with both amoxicillin and clarithromycin, and with amoxicillin alone, respectively, and we may seek QIDP designation for future product candidates. A QIDP is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to be established and maintained by the FDA under the Generating Antibiotic Incentives Now, or GAIN Act. The benefits of QIDP designation include potential eligibility for priority review and fast track designation, and an extension by an additional five years of any non-patent exclusivity period awarded, such as a five-year exclusivity period awarded for a new chemical entity. This extension is in addition to any pediatric exclusivity extension that may be awarded. Receipt of QIDP status also does not assure ultimate approval by the FDA or related GAIN Act exclusivity benefits.</w:t>
      </w:r>
    </w:p>
    <w:p>
      <w:pPr>
        <w:spacing w:after="0" w:line="134"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While QIDP designation makes vonoprazan potentially eligible for priority review and fast track designation, the FDA has broad discretion, so even if we believe vonoprazan or any future product candidate is eligible for fast track designation or priority review status, the FDA could decide not to grant it. The fast track program is intended to expedite or facilitate the process for reviewing new drug candidates that meet certain criteria. Specifically, new drugs are eligible for fast track designation if they are intended, alone or in combination with one or more drugs, to treat a serious or life-threatening disease or condition and demonstrate the potential to address unmet medical needs for the disease or condition. Fast track designation applies to the combination of the drug candidate and the specific indication for which it is being studied. With a fast track drug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Priority review means the FDA’s goal is to take action on an application within 6 months (compared to 10 months under standard review). The FDA automatically grants priority review to the first application or efficacy supplement submitted for a specific drug and indication that has received the QIDP designation.</w:t>
      </w:r>
    </w:p>
    <w:p>
      <w:pPr>
        <w:spacing w:after="0" w:line="15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Obtaining a QIDP designation, priority review, or fast track designation does not change the standards for product approval, but may expedite the development or approval process. Even though the FDA has granted QIDP designation for vonoprazan, and even if</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43</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3" w:name="page44"/>
    <w:bookmarkEnd w:id="43"/>
    <w:p>
      <w:pPr>
        <w:ind w:right="160"/>
        <w:spacing w:after="0" w:line="266" w:lineRule="auto"/>
        <w:rPr>
          <w:sz w:val="20"/>
          <w:szCs w:val="20"/>
          <w:color w:val="auto"/>
        </w:rPr>
      </w:pPr>
      <w:r>
        <w:rPr>
          <w:rFonts w:ascii="Times New Roman" w:cs="Times New Roman" w:eastAsia="Times New Roman" w:hAnsi="Times New Roman"/>
          <w:sz w:val="18"/>
          <w:szCs w:val="18"/>
          <w:color w:val="auto"/>
        </w:rPr>
        <w:t>vonoprazan receives priority review or fast track designations, it may not actually result in faster clinical development or regulatory review or approval. Furthermore, QIDP designation, priority review, and fast track designation do not increase the likelihood that vonoprazan will receive marketing approval in the United States.</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by identifying additional indications and formulations for which to investigate vonoprazan in the future. We may expend our limited resources to pursue a particular indication or formulation for vonoprazan and fail to capitalize on product candidates, indications or formulations that may be more profitable or for which there is a greater likelihood of success.</w:t>
      </w:r>
    </w:p>
    <w:p>
      <w:pPr>
        <w:spacing w:after="0" w:line="134"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indications and formulations for vonoprazan. As a result, we may fail to generate additional clinical development opportunities for vonoprazan for a number of reasons, including, vonoprazan may in certain indications, on further study, be shown to have harmful side effects, limited to no efficacy, or other characteristics that suggest it is unlikely to receive marketing approval and achieve market acceptance in such additional indications. For example, we believe the rapid onset of action of vonoprazan may enable on-demand, or as needed, use for the management of non-erosive reflux disease, or NERD. However, two Phase 3 clinical trials of vonoprazan in Japanese patients with endoscopically confirmed NERD conducted by Takeda did not demonstrate a statistically significant difference in symptom scores between vonoprazan and placebo. We believe that this result may be due to the selection of patients with mild to moderate symptoms rather than more frequent and severe symptoms. In addition, Takeda conducted a Phase 2 clinical trial in Europe in 256 patients with NERD who were partial responders to high dose PPIs. Patients were randomized to receive vonoprazan 20 mg, vonoprazan 40 mg, or esomeprazole 40 mg for four weeks. Neither vonoprazan dose demonstrated a benefit versus esomeprazole on the primary endpoint of the percentage of heartburn free days over the treatment period. We believe this result may be due to patient selection. Specifically, the trial may not have adequately selected for patients with NERD and may have included patients with functional GI disorders that are unrelated to acid, such as functional dyspepsia or functional heartburn. We may be incorrect in our beliefs regarding the results of such trials and any future clinical trials we conduct in NERD patients may not succeed for similar or other reasons, including as a result of our design and enrollment criteria.</w:t>
      </w:r>
    </w:p>
    <w:p>
      <w:pPr>
        <w:spacing w:after="0" w:line="14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 xml:space="preserve">Furthermore, research programs to identify additional indications for vonoprazan require substantial technical, financial and human resources. We may also pursue additional formulations and packaging for vonoprazan, such as orally disintegrating tablets and other oral dosage forms for patients with difficulty swallowing, an intravenous formulation for in-hospital applications, and pre-packaged convenience packs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However, we may not successfully develop these additional formulations for chemistry-related, stability-related or other reasons. If we do not accurately evaluate the commercial potential or target market for vonoprazan or any future product candidates,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6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13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enroll patients in Europe in both of our planned Phase 3 clinical trials. Additionally, we may conduct future clinical trials outside of the United States. However, the FDA and other comparable foreign regulatory authorities may not accept data from such trials, in which case our development plans will be delayed, which could materially harm our business.</w:t>
      </w:r>
    </w:p>
    <w:p>
      <w:pPr>
        <w:spacing w:after="0" w:line="13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plan to enroll patients in Europe in both of our planned Phase 3 clinical trials, and we may conduct one or more of our future clinical trials outside the United States. Although the FDA may accept data from clinical trials conducted outside the United States, acceptance of this data is subject to certain conditions imposed by the FDA. For example, the FDA requires the clinical trial to have been conducted in accordance with GCPs, and the FDA must be able to validate the data from the clinical trial through an onsite inspection if it deems such inspection necessary. In addition, when clinical trials are conducted only at sites outside of the United States, the FDA generally does not provide advance comment on the clinical protocols for the trials, and therefore there is an additional potential risk that the FDA could determine that the study design or protocol for a non-U.S. clinical trial was inadequate, which would likely require us to conduct additional clinical trials. The FDA may not accept data from clinical trials conducted outside of the United States. If the FDA does not accept data from our clinical trials of vonoprazan and any future product candidates, it would likely result in the need for additional clinical trials, which would be costly and time consuming and delay or permanently halt our development of vonoprazan and any future product candidates.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85" w:lineRule="exact"/>
        <w:rPr>
          <w:sz w:val="20"/>
          <w:szCs w:val="20"/>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44</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4" w:name="page45"/>
    <w:bookmarkEnd w:id="44"/>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8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clinical trials that we or others announce or publish from time to time may change as more patient data become available and are subject to audit and verification procedures that could result in material changes in the final data.</w:t>
      </w:r>
    </w:p>
    <w:p>
      <w:pPr>
        <w:spacing w:after="0" w:line="13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From time to time, we or others, such as Takeda, may publicly disclose preliminary or top-line data from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or others report may differ from future results of the same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previously published. As a result, top-line data should be viewed with caution until the final data are available. From time to time, we or others may also disclose interim data from clinical trials.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4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vonoprazan and any future product candidates may be harmed, which could harm our business, operating results, prospects, or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9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18"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Pursuant to the Takeda License, we have secured an exclusive license from Takeda to commercialize vonoprazan products using specified formulations for all human therapeutic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4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Takeda License will continue until the expiration of the obligation to pay royalties in all countries and on all products, unless terminated earlier. We may terminate the Takeda License in its entirety without cause upon prior written notice. We and Takeda may terminate the Takeda License in the case of the other party’s insolvency or for the other party’s material uncured breach. Takeda may terminate the Takeda License in its entirety if we challenge the licensed patents, or if we assist any third party in challenging such patents. In addition, if any of the regulatory milestones or other cash payments become due under the terms of the Takeda License, we may not have sufficient funds available to meet our obligations, which would allow Takeda to terminate the Takeda License. If the license agreement is terminated, we would lose our rights to develop and commercialize vonoprazan, which in turn would have a material adverse effect on our business, operating results and prospects.</w:t>
      </w:r>
    </w:p>
    <w:p>
      <w:pPr>
        <w:spacing w:after="0" w:line="158"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our clinical trials. Any failure by a third party to conduct the clinical trials according to GCPs and other requirements and in a timely manner may delay or prevent our ability to seek or obtain regulatory approval for or commercialize vonoprazan and any future product candidates.</w:t>
      </w:r>
    </w:p>
    <w:p>
      <w:pPr>
        <w:spacing w:after="0" w:line="134"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will be dependent on third parties to conduct our preclinical and clinical trials, including our planned Phase 3 clinical trials of vonoprazan. Specifically, we intend to use and rely on, medical institutions, clinical investigators, CROs and consultants to conduct our clinical trials in accordance with our clinical protocols and regulatory requirements. These CROs, investigators and other third parties will play a significant role in the conduct and timing of these trials and subsequent collection and analysis of data. While we have agreements governing the activities of our third-party contractors, we have limited influence over their actual performance.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45</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5" w:name="page46"/>
    <w:bookmarkEnd w:id="45"/>
    <w:p>
      <w:pPr>
        <w:ind w:right="100"/>
        <w:spacing w:after="0" w:line="255"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vonoprazan and any future product candidates that reach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w:t>
      </w:r>
    </w:p>
    <w:p>
      <w:pPr>
        <w:spacing w:after="0" w:line="158"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CROs, investigators or other third parties may not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vonoprazan and any future product candidates.</w:t>
      </w:r>
    </w:p>
    <w:p>
      <w:pPr>
        <w:spacing w:after="0" w:line="14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we may encounter challenges or delays in the future and these delays or challenges may have a material adverse impact on our business, financial condition and prospects.</w:t>
      </w:r>
    </w:p>
    <w:p>
      <w:pPr>
        <w:spacing w:after="0" w:line="14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Takeda for the manufacture of vonoprazan for clinical development and expect to continue to do so for the foreseeable future. This reliance on a third party increases the risk that we will not have sufficient quantities of vonoprazan or such quantities at an acceptable cost, which could delay, prevent or impair our development or commercialization efforts.</w:t>
      </w:r>
    </w:p>
    <w:p>
      <w:pPr>
        <w:spacing w:after="0" w:line="148"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build our own clinical or commercial scale manufacturing capabilities. Pursuant to the Takeda License, we entered in a clinical manufacturing and supply agreement with Takeda for the supply of vonoprazan for our clinical trials. In addition, we have the option to negotiate in good faith to enter into a commercial supply agreement with Takeda for the commercial supply of vonoprazan, and we are exploring additional options for commercial supply of vonoprazan from other third party contract manufacturers. As a result, we currently rely, and expect to continue to rely, on Takeda for the manufacture of vonoprazan and related raw materials for clinical development, as well as for commercial manufacture if vonoprazan receives marketing approval. However, we may not be able to enter into a commercial supply agreement with Takeda or other third parties on acceptable terms, or at all. The facilities used by Takeda to manufacture vonoprazan must be approved by the FDA for the manufacture of vonoprazan pursuant to inspections that may be conducted after we submit marketing authorizations to the FDA and comparable foreign regulatory authorities. We do not control the manufacturing process of, and are completely dependent on, Takeda for compliance with cGMP requirements for manufacture of drug products. If Takeda, or any other third party manufacturer we contract with in the future, cannot successfully manufacture material that conforms to our specifications and the strict regulatory requirements of the FDA or others, including requirements related to the manufacturing of high potency compounds, they will not be able to secure and/or maintain regulatory approval for their manufacturing facilities. In addition, we have no control over Takeda’s ability to maintain adequate quality control, quality assurance and qualified personnel. If the FDA or a comparable foreign regulatory authority does not approve of facilities of the third-party manufacturer for the manufacture of vonoprazan or if it withdraws any such approval in the future, we may need to find alternative manufacturing facilities, which would significantly impact our ability to develop, obtain regulatory approval for or market vonoprazan, if approved. Our failure, or Takeda’s failure,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Furthermore, Takeda may choose to prioritize the manufacture of vonoprazan for its markets over the manufacture of vonoprazan for our licensed markets.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46</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6" w:name="page47"/>
    <w:bookmarkEnd w:id="46"/>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Our or Takeda’s failure, or the failure of any future third-party manufacturer, to execute on our manufacturing requirements, to do so on commercially reasonable terms and comply with cGMP could adversely affect our business in a number of ways, including:</w:t>
      </w:r>
    </w:p>
    <w:p>
      <w:pPr>
        <w:spacing w:after="0" w:line="135" w:lineRule="exact"/>
        <w:rPr>
          <w:sz w:val="20"/>
          <w:szCs w:val="20"/>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and continue clinical trials of vonoprazan or any future product candidates;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vonoprazan and any future product candidates;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vonoprazan and any future product candidates; and</w:t>
      </w:r>
    </w:p>
    <w:p>
      <w:pPr>
        <w:spacing w:after="0" w:line="184"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vonoprazan or any future product candidates, an inability to meet commercial demands for vonoprazan or any future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Reliance on third-party manufacturers entails additional risks, including:</w:t>
      </w:r>
    </w:p>
    <w:p>
      <w:pPr>
        <w:spacing w:after="0" w:line="185" w:lineRule="exact"/>
        <w:rPr>
          <w:sz w:val="20"/>
          <w:szCs w:val="20"/>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Vonoprazan and any products that we may develop may compete with other product candidates and products for access to manufacturing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there may be a limited number of manufacturers that operate under cGMP regulations and that might be capable of manufacturing for us.</w:t>
      </w:r>
    </w:p>
    <w:p>
      <w:pPr>
        <w:spacing w:after="0" w:line="16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Takeda or any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vonoprazan and any future product candidates. If Takeda cannot perform as agreed, we may be required to replace Takeda and we may be unable to replace them on a timely basis or at all.</w:t>
      </w:r>
    </w:p>
    <w:p>
      <w:pPr>
        <w:spacing w:after="0" w:line="153" w:lineRule="exact"/>
        <w:rPr>
          <w:sz w:val="20"/>
          <w:szCs w:val="20"/>
          <w:color w:val="auto"/>
        </w:rPr>
      </w:pPr>
    </w:p>
    <w:p>
      <w:pPr>
        <w:ind w:right="280" w:firstLine="518"/>
        <w:spacing w:after="0" w:line="313" w:lineRule="auto"/>
        <w:rPr>
          <w:sz w:val="20"/>
          <w:szCs w:val="20"/>
          <w:color w:val="auto"/>
        </w:rPr>
      </w:pPr>
      <w:r>
        <w:rPr>
          <w:rFonts w:ascii="Times New Roman" w:cs="Times New Roman" w:eastAsia="Times New Roman" w:hAnsi="Times New Roman"/>
          <w:sz w:val="17"/>
          <w:szCs w:val="17"/>
          <w:color w:val="auto"/>
        </w:rPr>
        <w:t>Our current and anticipated future dependence upon others for the manufacture of vonoprazan or any future product candidates or products may adversely affect our future profit margins and our ability to commercialize any products that receive marketing approval on a timely and competitive basis.</w:t>
      </w:r>
    </w:p>
    <w:p>
      <w:pPr>
        <w:spacing w:after="0" w:line="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including Takeda, requires us to share our trade secrets, which increases the possibility that a competitor will discover them or that our trade secrets will be misappropriated or disclosed.</w:t>
      </w:r>
    </w:p>
    <w:p>
      <w:pPr>
        <w:spacing w:after="0" w:line="11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Because we currently rely on Takeda to manufacture vonoprazan and to perform quality testing, we must, at times, share our proprietary technology and confidential information, including trade secrets, with them.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47</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7" w:name="page48"/>
    <w:bookmarkEnd w:id="4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3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may seek to enter into collaborations, joint ventures, licenses and other similar arrangements for the development or commercialization of vonoprazan and any future product candidates, due to capital costs required to develop or commercialize vonoprazan and any future product candidates or manufacturing constraints. We may not be successful in our efforts to establish such collaborations for vonoprazan and any future product candidates because vonoprazan and any future product candidates may be deemed to be at too early of a stage of development for collaborative effort or third parties may not view vonoprazan and any future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45"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36"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vonoprazan and any future product candidates, if approved, and may not conduct those activities in the same manner as we do. Any termination of collaborations we enter into in the future, or any delay in entering into collaborations related to vonoprazan or any future product candidates, could delay the development and commercialization of vonoprazan or any future product candidates and reduce their competitiveness if they reach the market, which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Vonoprazan and Any Future Product Candidates</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vonoprazan and any future product candidates, we will be subject to ongoing regulatory obligations and continued regulatory review, which may result in significant additional expense. Additionally, vonoprazan and any future product candidates, if approved, could be subject to labeling and other restrictions on marketing or withdrawal from the market, and we may be subject to penalties if we fail to comply with regulatory requirements or if we experience unanticipated problems with vonoprazan and any future product candidates, if approved.</w:t>
      </w:r>
    </w:p>
    <w:p>
      <w:pPr>
        <w:spacing w:after="0" w:line="140"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Following potential approval of vonoprazan or any future product candidates, the FDA, EMA or other comparable regulatory authority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REMS as a condition of approval of vonoprazan or any future product candidates, which could include requirements for a medication guide, physician communication plans or additional elements to ensure safe use, such as restricted distribution methods, patient registries and other risk minimization tools. In addition, if the FDA, EMA or a comparable foreign regulatory authority approves vonoprazan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166" w:lineRule="exact"/>
        <w:rPr>
          <w:sz w:val="20"/>
          <w:szCs w:val="20"/>
          <w:color w:val="auto"/>
        </w:rPr>
      </w:pPr>
    </w:p>
    <w:p>
      <w:pPr>
        <w:ind w:left="900" w:right="34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untitled letters or holds on clinical trials;</w:t>
      </w:r>
    </w:p>
    <w:p>
      <w:pPr>
        <w:spacing w:after="0" w:line="184"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authority to approve pending applications or supplements to approved applications filed by us or suspension or revocation of approvals;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48</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48" w:name="page49"/>
    <w:bookmarkEnd w:id="48"/>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vonoprazan and any future product candidates and generate revenue and could require us to expend significant time and resources in response and could generate negative publicity.</w:t>
      </w:r>
    </w:p>
    <w:p>
      <w:pPr>
        <w:spacing w:after="0" w:line="13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addition, if vonoprazan or any future product candidate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However, companies may share truthful and not misleading information that is otherwise consistent with a product’s FDA approved labeling. If we receive marketing approval for vonoprazan or any future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46"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vonoprazan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0"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internationally. The policies of the FDA and of other regulatory authorities may change and additional governmental regulations may be enacted that could prevent, limit or delay regulatory approval of vonoprazan or any future product candidates.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62"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36" w:lineRule="exact"/>
        <w:rPr>
          <w:sz w:val="20"/>
          <w:szCs w:val="20"/>
          <w:color w:val="auto"/>
        </w:rPr>
      </w:pPr>
    </w:p>
    <w:p>
      <w:pPr>
        <w:ind w:right="840" w:firstLine="518"/>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vonoprazan or any future product candidates will depend upon the degree of market acceptance of such product candidates by physicians, patients, healthcare payors and others in the medical community.</w:t>
      </w:r>
    </w:p>
    <w:p>
      <w:pPr>
        <w:spacing w:after="0" w:line="132" w:lineRule="exact"/>
        <w:rPr>
          <w:sz w:val="20"/>
          <w:szCs w:val="20"/>
          <w:color w:val="auto"/>
        </w:rPr>
      </w:pPr>
    </w:p>
    <w:p>
      <w:pPr>
        <w:jc w:val="both"/>
        <w:ind w:right="380" w:firstLine="518"/>
        <w:spacing w:after="0" w:line="266" w:lineRule="auto"/>
        <w:rPr>
          <w:sz w:val="20"/>
          <w:szCs w:val="20"/>
          <w:color w:val="auto"/>
        </w:rPr>
      </w:pPr>
      <w:r>
        <w:rPr>
          <w:rFonts w:ascii="Times New Roman" w:cs="Times New Roman" w:eastAsia="Times New Roman" w:hAnsi="Times New Roman"/>
          <w:sz w:val="18"/>
          <w:szCs w:val="18"/>
          <w:color w:val="auto"/>
        </w:rPr>
        <w:t>Vonoprazan and any future product candidates may not be commercially successful. The commercial success of vonoprazan or any future product candidates, if approved, will depend significantly on the broad adoption and use of such product by physicians and patients for approved indications. The degree of market acceptance of vonoprazan or any future products, if approved, will depend on a number of factors, including:</w:t>
      </w:r>
    </w:p>
    <w:p>
      <w:pPr>
        <w:spacing w:after="0" w:line="136" w:lineRule="exact"/>
        <w:rPr>
          <w:sz w:val="20"/>
          <w:szCs w:val="20"/>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compared to other more-established products;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vonoprazan or any future product candidates are approved;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84" w:lineRule="exact"/>
        <w:rPr>
          <w:rFonts w:ascii="Times New Roman" w:cs="Times New Roman" w:eastAsia="Times New Roman" w:hAnsi="Times New Roman"/>
          <w:sz w:val="18"/>
          <w:szCs w:val="18"/>
          <w:color w:val="auto"/>
        </w:rPr>
      </w:pPr>
    </w:p>
    <w:p>
      <w:pPr>
        <w:ind w:left="900" w:right="500" w:hanging="379"/>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49</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9" w:name="page50"/>
    <w:bookmarkEnd w:id="49"/>
    <w:p>
      <w:pPr>
        <w:ind w:left="900" w:right="22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21" w:lineRule="exact"/>
        <w:rPr>
          <w:rFonts w:ascii="Times New Roman" w:cs="Times New Roman" w:eastAsia="Times New Roman" w:hAnsi="Times New Roman"/>
          <w:sz w:val="18"/>
          <w:szCs w:val="18"/>
          <w:color w:val="auto"/>
        </w:rPr>
      </w:pPr>
    </w:p>
    <w:p>
      <w:pPr>
        <w:ind w:left="900" w:right="44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or adequate reimbursement;</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competitive drugs;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potential future collaborators’ sales and marketing strategies;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185"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If vonoprazan or any future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49"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With respect to vonoprazan, Takeda has the right to develop and commercialize the product outside of the United States, Europe, and Canada and has received marketing approval for vonoprazan in certain countries in Asia and Latin America. We have little or no control over Takeda’s commercialization activities with respect to vonoprazan outside of our licensed territories even though those activities could impact our ability to successfully commercialize vonoprazan. For example, Takeda can make statements or use promotional materials with respect to vonoprazan outside of our licensed territories that are inconsistent with our positioning of the product in the United States, Europe, and Canada, and could sell vonoprazan in foreign countries at prices that are dramatically lower than the prices we would charge in our licensed territories. These activities and decisions, while occurring outside of our licensed territories, could harm our commercialization strategy. In addition, product recalls or safety issues with vonoprazan outside our licensed territories could result in serious damage to the brand and impair our ability to successfully market vonoprazan in our licensed territories.</w:t>
      </w:r>
    </w:p>
    <w:p>
      <w:pPr>
        <w:spacing w:after="0" w:line="14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18"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as vonoprazan and any future product candidates would be,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vonoprazan or any future product candidates, if approved, we could become subject to significant liability, which would materially adversely affect our business and financial condition.</w:t>
      </w:r>
    </w:p>
    <w:p>
      <w:pPr>
        <w:spacing w:after="0" w:line="158"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vonoprazan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3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vonoprazan or any future product candidate,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w:t>
      </w:r>
    </w:p>
    <w:p>
      <w:pPr>
        <w:spacing w:after="0" w:line="147"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United States, the European Union or elsewhere will be available for any product that we may develop, and any reimbursement that may become available may be decreased or eliminated in the future.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50</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0" w:name="page51"/>
    <w:bookmarkEnd w:id="50"/>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58"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43"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4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62"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4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technologies or product candidates more rapidly than we do or their technologies are more effective, our ability to develop and successfully commercialize products may be adversely affected.</w:t>
      </w:r>
    </w:p>
    <w:p>
      <w:pPr>
        <w:spacing w:after="0" w:line="118"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vonoprazan.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GI diseases for which we may attempt to develop vonoprazan or any future product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51</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1" w:name="page52"/>
    <w:bookmarkEnd w:id="51"/>
    <w:p>
      <w:pPr>
        <w:ind w:right="60" w:firstLine="518"/>
        <w:spacing w:after="0" w:line="259" w:lineRule="auto"/>
        <w:rPr>
          <w:sz w:val="20"/>
          <w:szCs w:val="20"/>
          <w:color w:val="auto"/>
        </w:rPr>
      </w:pPr>
      <w:r>
        <w:rPr>
          <w:rFonts w:ascii="Times New Roman" w:cs="Times New Roman" w:eastAsia="Times New Roman" w:hAnsi="Times New Roman"/>
          <w:sz w:val="18"/>
          <w:szCs w:val="18"/>
          <w:color w:val="auto"/>
        </w:rPr>
        <w:t xml:space="preserve">We expect that vonoprazan, if approved for the treatment of erosive esophagitis and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will primarily compete with generic PPIs marketed by multiple pharmaceutical companies in both the prescription and OTC markets. Additionally, RedHill Biopharma Ltd. is developing Talicia, a co-formulated capsule comprising generic omeprazole, amoxicillin, and rifabutin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and filed an NDA in the United States in May 2019. Ironwood Pharmaceuticals, Inc. is developing IW-3718, a bile acid sequestrant, currently in Phase 3 clinical trials as an adjunct to PPIs for the treatment of patients with persistent GERD.</w:t>
      </w:r>
    </w:p>
    <w:p>
      <w:pPr>
        <w:spacing w:after="0" w:line="15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We are also aware of other P-CABs in territories outside of the United States that, if developed and approved in our territories, may compete with vonoprazan. Revaprazan is marketed by Yuhan Corporation in South Korea. Tegoprazan is marketed by CJ Healthcare Corp. in South Korea and is currently in Phase 3 development in Japan by RaQualia Pharma, Inc. Daewoong Pharmaceutical Co., Ltd.’s DWP14012 has been studied in Phase 2 clinical trials in South Korea, and Cinclus Pharma AG’s X842 has completed a Phase 1 clinical trial in Europe.</w:t>
      </w:r>
    </w:p>
    <w:p>
      <w:pPr>
        <w:spacing w:after="0" w:line="14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Additionally, we are aware of several clinical-stage PPIs in territories outside of the United States that if developed and approved in our licensed territories may compete with vonoprazan. These include Dexa Medica’s DLBS-2411, currently in Phase 3 clinical trials in Indonesia, Sihuan Pharmaceutical’s anaprazole, currently in Phase 3 clinical trials in China, Eisai’s azeloprazole, currently in a Phase 2 clinical trial in Japan, and Sidem Pharma’s tenatoprazole, currently in Phase 2 clinical trials in Europe and Canada.</w:t>
      </w:r>
    </w:p>
    <w:p>
      <w:pPr>
        <w:spacing w:after="0" w:line="14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 July 2012, the Food and Drug Administration Safety and Innovation Act was passed, which included the GAIN Act. The GAIN Act is intended to provide incentives for the development of new, qualified infectious disease products. In December 2016, the 21st Century Cures Act was passed, providing additional support for the development of new infectious disease products. These incentives may result in more competition in the market for new antibiotics and may cause pharmaceutical and biotechnology companies with more resources than we have to shift their efforts towards the development of product candidates that could be competitive with vonoprazan or any future product candidates.</w:t>
      </w:r>
    </w:p>
    <w:p>
      <w:pPr>
        <w:spacing w:after="0" w:line="157"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vonoprazan or any future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vonoprazan or any future product candidates. If we are unable to compete effectively, our opportunity to generate revenue from the sale of our products we may develop, if approved, could be adversely affected.</w:t>
      </w:r>
    </w:p>
    <w:p>
      <w:pPr>
        <w:spacing w:after="0" w:line="1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vonoprazan or any future products are smaller than we believe they are, our revenue may be adversely affected, and our business may suffer.</w:t>
      </w:r>
    </w:p>
    <w:p>
      <w:pPr>
        <w:spacing w:after="0" w:line="118" w:lineRule="exact"/>
        <w:rPr>
          <w:sz w:val="20"/>
          <w:szCs w:val="20"/>
          <w:color w:val="auto"/>
        </w:rPr>
      </w:pPr>
    </w:p>
    <w:p>
      <w:pPr>
        <w:ind w:right="20" w:firstLine="518"/>
        <w:spacing w:after="0" w:line="270" w:lineRule="auto"/>
        <w:rPr>
          <w:sz w:val="20"/>
          <w:szCs w:val="20"/>
          <w:color w:val="auto"/>
        </w:rPr>
      </w:pPr>
      <w:r>
        <w:rPr>
          <w:rFonts w:ascii="Times New Roman" w:cs="Times New Roman" w:eastAsia="Times New Roman" w:hAnsi="Times New Roman"/>
          <w:sz w:val="17"/>
          <w:szCs w:val="17"/>
          <w:color w:val="auto"/>
        </w:rPr>
        <w:t>The precise incidence and prevalence for all the conditions we aim to address with vonoprazan or any future product candidates are unknown. Our projections of both the number of people who have these diseases, as well as the subset of people with these diseases who have the potential to benefit from treatment of vonoprazan or any future product candidates, are based on our beliefs and estimates. These estimates have been derived from a variety of sources, including the scientific literature, surveys of clinics or market research, and may prove to be incorrect. Further, new trials may change the estimated incidence or prevalence of these diseases. The total addressable market across vonoprazan and any future product candidates will ultimately depend upon, among other things, the diagnosis criteria included in the final label for each of vonoprazan and any future product candidates approved for sale for these indications, the availability of alternative treatments and the safety, convenience, cost and efficacy of vonoprazan and any future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52</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52" w:name="page53"/>
    <w:bookmarkEnd w:id="52"/>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48"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vonoprazan or any future product candidates ultimately receive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plan to independently commercialize vonoprazan in the United States by building a leading specialty gastroenterology commercial infrastructure to support the adoption of vonoprazan and we plan to seek one or more partners with existing commercial infrastructure and expertise in Europe and Canada. We have no prior experience as a company in the marketing, sale and distribution of biopharmaceutical products and there are significant risks involved in building and managing a marketing and sales organization, including our ability to hire, retain and incentivize qualified individuals, generate sufficient sales leads, provide adequate training to sales and marketing personnel and effectively manage a geographically dispersed sales and marketing team.</w:t>
      </w:r>
    </w:p>
    <w:p>
      <w:pPr>
        <w:spacing w:after="0" w:line="14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vonoprazan or any future product candidates, either on our own or through arrangements with one or more third parties, we may not be able to generate any future product revenue and we would incur significant additional losses.</w:t>
      </w:r>
    </w:p>
    <w:p>
      <w:pPr>
        <w:spacing w:after="0" w:line="14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particularly Europe and Canada, where we would be subject to additional regulatory burdens and other risks and uncertainties.</w:t>
      </w:r>
    </w:p>
    <w:p>
      <w:pPr>
        <w:spacing w:after="0" w:line="132"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vonoprazan and any future product candidates in foreign markets, particularly Europe and Canada. We are not permitted to market or promote vonoprazan and any future product candidates before we receive regulatory approval from applicable regulatory authorities in foreign markets, and we may never receive such regulatory approvals for vonoprazan or any future product candidates. To obtain separate regulatory approval in any other countries we must comply with numerous and varying regulatory requirements regarding safety and efficacy and governing, among other things, clinical trials, commercial sales, pricing and distribution of vonoprazan and any future product candidates. If we obtain regulatory approval of vonoprazan and any future product candidates and ultimately commercialize our products in foreign markets, we would be subject to additional risks and uncertainties, including:</w:t>
      </w:r>
    </w:p>
    <w:p>
      <w:pPr>
        <w:spacing w:after="0" w:line="149" w:lineRule="exact"/>
        <w:rPr>
          <w:sz w:val="20"/>
          <w:szCs w:val="20"/>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internationally;</w:t>
      </w:r>
    </w:p>
    <w:p>
      <w:pPr>
        <w:spacing w:after="0" w:line="184"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53</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53" w:name="page54"/>
    <w:bookmarkEnd w:id="53"/>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internationally; and</w:t>
      </w:r>
    </w:p>
    <w:p>
      <w:pPr>
        <w:spacing w:after="0" w:line="184" w:lineRule="exact"/>
        <w:rPr>
          <w:rFonts w:ascii="Times New Roman" w:cs="Times New Roman" w:eastAsia="Times New Roman" w:hAnsi="Times New Roman"/>
          <w:sz w:val="18"/>
          <w:szCs w:val="18"/>
          <w:color w:val="auto"/>
        </w:rPr>
      </w:pPr>
    </w:p>
    <w:p>
      <w:pPr>
        <w:ind w:left="900" w:right="48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8"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21" w:lineRule="exact"/>
        <w:rPr>
          <w:sz w:val="20"/>
          <w:szCs w:val="20"/>
          <w:color w:val="auto"/>
        </w:rPr>
      </w:pPr>
    </w:p>
    <w:p>
      <w:pPr>
        <w:ind w:left="900" w:right="640" w:hanging="379"/>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vonoprazan or any future product candidates, which may change from time to time;</w:t>
      </w:r>
    </w:p>
    <w:p>
      <w:pPr>
        <w:spacing w:after="0" w:line="121"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vonoprazan or any future product candidates, if approved, and potential future drugs that compete with such products, if approved;</w:t>
      </w:r>
    </w:p>
    <w:p>
      <w:pPr>
        <w:spacing w:after="0" w:line="121"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vonoprazan or any future product candidates, which may vary depending on the quantity of production and the terms of our agreements with Takeda and any future third-party manufacturers;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milestone or other payments we will be required to pay to Takeda pursuant to the Takeda License;</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84" w:lineRule="exact"/>
        <w:rPr>
          <w:rFonts w:ascii="Times New Roman" w:cs="Times New Roman" w:eastAsia="Times New Roman" w:hAnsi="Times New Roman"/>
          <w:sz w:val="18"/>
          <w:szCs w:val="18"/>
          <w:color w:val="auto"/>
        </w:rPr>
      </w:pPr>
    </w:p>
    <w:p>
      <w:pPr>
        <w:ind w:left="900" w:right="380" w:hanging="379"/>
        <w:spacing w:after="0" w:line="313"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or failure of preclinical studies or clinical trials for vonoprazan or any future product candidates or competing product candidates, or any other change in the competitive landscape of our industry, including consolidation among our competitors or partners.</w:t>
      </w:r>
    </w:p>
    <w:p>
      <w:pPr>
        <w:spacing w:after="0" w:line="98"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3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may limit our flexibility in operating our business and adversely affect our financial health and competitive position, and all of our obligations under our indebtedness are secured by substantially all of our assets, excluding our intellectual property and certain other assets. If we default on these obligations, our lenders could foreclose on our assets.</w:t>
      </w:r>
    </w:p>
    <w:p>
      <w:pPr>
        <w:spacing w:after="0" w:line="13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May 2019, we entered into the Loan Agreement with SVB and WestRiver. We borrowed $25.0 million, or Term Loan A, at the inception of the Loan Agreement and have the right to borrow an additional $25.0 million, or Term Loan B, and which we collectively refer to as the Term Loans. Term Loan B is available through March 31, 2020, provided that (i) we have received at least $150.0 million of net cash proceeds in connection with the issuance and sale, subsequent to April 1, 2019, of our equity securities and subordinated debt, (ii) we have initiated Phase 3 clinical trials for vonoprazan, and (iii) no event of default has occurred. All obligations under the Term Loans are secured by a first priority lien on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 As a result, if we default on any of our obligations under the Loan Agreement, SVB could foreclose on its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54</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4" w:name="page55"/>
    <w:bookmarkEnd w:id="54"/>
    <w:p>
      <w:pPr>
        <w:ind w:right="140"/>
        <w:spacing w:after="0" w:line="282" w:lineRule="auto"/>
        <w:rPr>
          <w:sz w:val="20"/>
          <w:szCs w:val="20"/>
          <w:color w:val="auto"/>
        </w:rPr>
      </w:pPr>
      <w:r>
        <w:rPr>
          <w:rFonts w:ascii="Times New Roman" w:cs="Times New Roman" w:eastAsia="Times New Roman" w:hAnsi="Times New Roman"/>
          <w:sz w:val="18"/>
          <w:szCs w:val="18"/>
          <w:color w:val="auto"/>
        </w:rPr>
        <w:t>security interest and liquidate some or all of the collateral, which would harm our business, financial condition and results of operations and could require us to reduce or cease operations.</w:t>
      </w:r>
    </w:p>
    <w:p>
      <w:pPr>
        <w:spacing w:after="0" w:line="135"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4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that limit our ability to engage in certain transactions that may be in our long-term best interest.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w:t>
      </w:r>
    </w:p>
    <w:p>
      <w:pPr>
        <w:spacing w:after="0" w:line="147"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While we believe we are currently in compliance with the covenants contained in the Loan Agreement, we may breach these covenants in the future. Our ability to comply with these covenants may be affected by events and factors beyond our control. In the event that we breach one or more covenants, the lenders may choose to declare an event of default and require that we immediately repay all amounts outstanding under the Loan Agreement, terminate any commitment to extend further credit and foreclose on the collateral. The occurrence of any of these events could have a material adverse effect on our business, financial condition and results of operations.</w:t>
      </w:r>
    </w:p>
    <w:p>
      <w:pPr>
        <w:spacing w:after="0" w:line="15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current management and other clinical and scientific personnel, and if we are not able to retain these individuals or recruit additional management or clinical and scientific personnel, our business will suffer.</w:t>
      </w:r>
    </w:p>
    <w:p>
      <w:pPr>
        <w:spacing w:after="0" w:line="11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current senior management team, our Chairman and our development personnel. The loss of services of any of these individuals or personnel could delay or prevent the successful development of our product pipeline, initiation or completion of our planned clinical trials or the commercialization of vonoprazan or any other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4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addition, we expect that Terrie Curran, a member of our board of directors, will become our Chief Executive Officer effective upon the closing of the acquisition of her current employer, Celgene Corporation, by Bristol-Myers Squibb Company. In the event Ms. Curran succeeds Mr. Socks as Chief Executive Officer, Mr. Socks will serve as interim Chief Financial Officer and continue to serve on our board of directors. If Ms. Curran decides not to join us as Chief Executive Officer, our board of directors will evaluate additional candidates for the position, during which time David Socks will continue to serve as our Chief Executive Officer. Although this is a planned management transition, we may experience business disruptions and our ability to achieve our development objections could be adversely affected.</w:t>
      </w:r>
    </w:p>
    <w:p>
      <w:pPr>
        <w:spacing w:after="0" w:line="16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will continue to expand and need to effectively manage our managerial, operational, financialand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55</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5" w:name="page56"/>
    <w:bookmarkEnd w:id="55"/>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substantially increased the size of our organization, and we may encounter difficulties in managing our growth and expanding our operations successfully.</w:t>
      </w:r>
    </w:p>
    <w:p>
      <w:pPr>
        <w:spacing w:after="0" w:line="132"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have substantially increased our organization from four employees in February 2018 to 16 full-time employees as of September 30, 2019. As we continue development and pursue the potential commercialization of vonoprazan and any future product candidates, as well as function as a public company, we will continue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vonoprazan and any future product candidates and to compete effectively will depend, in part, on our ability to manage our recent substantial growth and any future growth effectively.</w:t>
      </w:r>
    </w:p>
    <w:p>
      <w:pPr>
        <w:spacing w:after="0" w:line="14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1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 but are not limited to:</w:t>
      </w:r>
    </w:p>
    <w:p>
      <w:pPr>
        <w:spacing w:after="0" w:line="153" w:lineRule="exact"/>
        <w:rPr>
          <w:sz w:val="20"/>
          <w:szCs w:val="20"/>
          <w:color w:val="auto"/>
        </w:rPr>
      </w:pPr>
    </w:p>
    <w:p>
      <w:pPr>
        <w:ind w:left="900" w:right="60" w:hanging="379"/>
        <w:spacing w:after="0" w:line="25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144" w:lineRule="exact"/>
        <w:rPr>
          <w:rFonts w:ascii="Times New Roman" w:cs="Times New Roman" w:eastAsia="Times New Roman" w:hAnsi="Times New Roman"/>
          <w:sz w:val="18"/>
          <w:szCs w:val="18"/>
          <w:color w:val="auto"/>
        </w:rPr>
      </w:pPr>
    </w:p>
    <w:p>
      <w:pPr>
        <w:ind w:left="900" w:right="100" w:hanging="379"/>
        <w:spacing w:after="0" w:line="258"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civil and criminal federal false claims and civil monetary penalties laws, including the civil False Claims Act, which can be enforced through civil whistleblower or qui tam actions,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U.S. federal government;</w:t>
      </w:r>
    </w:p>
    <w:p>
      <w:pPr>
        <w:spacing w:after="0" w:line="143" w:lineRule="exact"/>
        <w:rPr>
          <w:rFonts w:ascii="Times New Roman" w:cs="Times New Roman" w:eastAsia="Times New Roman" w:hAnsi="Times New Roman"/>
          <w:sz w:val="18"/>
          <w:szCs w:val="18"/>
          <w:color w:val="auto"/>
        </w:rPr>
      </w:pPr>
    </w:p>
    <w:p>
      <w:pPr>
        <w:ind w:left="900" w:right="100" w:hanging="379"/>
        <w:spacing w:after="0" w:line="277"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27" w:lineRule="exact"/>
        <w:rPr>
          <w:rFonts w:ascii="Times New Roman" w:cs="Times New Roman" w:eastAsia="Times New Roman" w:hAnsi="Times New Roman"/>
          <w:sz w:val="17"/>
          <w:szCs w:val="17"/>
          <w:color w:val="auto"/>
        </w:rPr>
      </w:pPr>
    </w:p>
    <w:p>
      <w:pPr>
        <w:ind w:left="900" w:right="200" w:hanging="379"/>
        <w:spacing w:after="0" w:line="258"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its implementing regulations, also impose obligations, including mandatory contractual terms, with respect to safeguarding the privacy, security and transmission of individually identifiable health information of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143" w:lineRule="exact"/>
        <w:rPr>
          <w:rFonts w:ascii="Times New Roman" w:cs="Times New Roman" w:eastAsia="Times New Roman" w:hAnsi="Times New Roman"/>
          <w:sz w:val="18"/>
          <w:szCs w:val="18"/>
          <w:color w:val="auto"/>
        </w:rPr>
      </w:pPr>
    </w:p>
    <w:p>
      <w:pPr>
        <w:ind w:left="900" w:right="100" w:hanging="379"/>
        <w:spacing w:after="0" w:line="258"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certain payments and other “transfers of value” made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56</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56" w:name="page57"/>
    <w:bookmarkEnd w:id="56"/>
    <w:p>
      <w:pPr>
        <w:ind w:left="900" w:right="60" w:hanging="379"/>
        <w:spacing w:after="0" w:line="253"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distribution, use, security, and storage of personally identifiable information and other data relating to individuals (including the EU General Data Protection Regulation 2016/679, or GDPR, and the California Consumer Privacy Act, or CCPA), and federal and state consumer protection laws are being applied to enforce regulations related to the online collection, use, and dissemination of data, thus complicating compliance efforts.</w:t>
      </w:r>
    </w:p>
    <w:p>
      <w:pPr>
        <w:spacing w:after="0" w:line="148" w:lineRule="exact"/>
        <w:rPr>
          <w:sz w:val="20"/>
          <w:szCs w:val="20"/>
          <w:color w:val="auto"/>
        </w:rPr>
      </w:pPr>
    </w:p>
    <w:p>
      <w:pPr>
        <w:ind w:right="160" w:firstLine="518"/>
        <w:spacing w:after="0" w:line="281" w:lineRule="auto"/>
        <w:rPr>
          <w:sz w:val="20"/>
          <w:szCs w:val="20"/>
          <w:color w:val="auto"/>
        </w:rPr>
      </w:pPr>
      <w:r>
        <w:rPr>
          <w:rFonts w:ascii="Times New Roman" w:cs="Times New Roman" w:eastAsia="Times New Roman" w:hAnsi="Times New Roman"/>
          <w:sz w:val="17"/>
          <w:szCs w:val="17"/>
          <w:color w:val="auto"/>
        </w:rPr>
        <w:t>We may also be subject to additional regulation in the conduct of our business. For example, we may be subject to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3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addition, California recently enacted the CCPA, which creates new individual privacy rights for California consumers (as defined in the law) and places increased privacy and security obligations on entities handling certain personal data of consumers or households. The CCPA will require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goes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45" w:lineRule="exact"/>
        <w:rPr>
          <w:sz w:val="20"/>
          <w:szCs w:val="20"/>
          <w:color w:val="auto"/>
        </w:rPr>
      </w:pPr>
    </w:p>
    <w:p>
      <w:pPr>
        <w:ind w:right="100" w:firstLine="518"/>
        <w:spacing w:after="0" w:line="269" w:lineRule="auto"/>
        <w:rPr>
          <w:sz w:val="20"/>
          <w:szCs w:val="20"/>
          <w:color w:val="auto"/>
        </w:rPr>
      </w:pPr>
      <w:r>
        <w:rPr>
          <w:rFonts w:ascii="Times New Roman" w:cs="Times New Roman" w:eastAsia="Times New Roman" w:hAnsi="Times New Roman"/>
          <w:sz w:val="17"/>
          <w:szCs w:val="17"/>
          <w:color w:val="auto"/>
        </w:rPr>
        <w:t>Ensuring that our internal operations and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not to be in compliance with applicable laws, they may be subject to significant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3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and healthcare reform measures may increase the difficulty and cost for us to obtain marketing approval for and commercialize vonoprazan and any future product candidates and may affect the prices we may set.</w:t>
      </w:r>
    </w:p>
    <w:p>
      <w:pPr>
        <w:spacing w:after="0" w:line="13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and proposed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57</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7" w:name="page58"/>
    <w:bookmarkEnd w:id="57"/>
    <w:p>
      <w:pPr>
        <w:jc w:val="both"/>
        <w:ind w:right="520" w:firstLine="518"/>
        <w:spacing w:after="0" w:line="266"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the Affordable Care Act includes:</w:t>
      </w:r>
    </w:p>
    <w:p>
      <w:pPr>
        <w:spacing w:after="0" w:line="149" w:lineRule="exact"/>
        <w:rPr>
          <w:sz w:val="20"/>
          <w:szCs w:val="20"/>
          <w:color w:val="auto"/>
        </w:rPr>
      </w:pPr>
    </w:p>
    <w:p>
      <w:pPr>
        <w:ind w:left="900" w:right="56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which is apportioned among these entities according to their market share in certain government healthcare programs;</w:t>
      </w:r>
    </w:p>
    <w:p>
      <w:pPr>
        <w:spacing w:after="0" w:line="121" w:lineRule="exact"/>
        <w:rPr>
          <w:rFonts w:ascii="Times New Roman" w:cs="Times New Roman" w:eastAsia="Times New Roman" w:hAnsi="Times New Roman"/>
          <w:sz w:val="18"/>
          <w:szCs w:val="18"/>
          <w:color w:val="auto"/>
        </w:rPr>
      </w:pPr>
    </w:p>
    <w:p>
      <w:pPr>
        <w:ind w:left="900" w:right="320" w:hanging="379"/>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135" w:lineRule="exact"/>
        <w:rPr>
          <w:rFonts w:ascii="Times New Roman" w:cs="Times New Roman" w:eastAsia="Times New Roman" w:hAnsi="Times New Roman"/>
          <w:sz w:val="18"/>
          <w:szCs w:val="18"/>
          <w:color w:val="auto"/>
        </w:rPr>
      </w:pPr>
    </w:p>
    <w:p>
      <w:pPr>
        <w:ind w:left="900" w:right="44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21" w:lineRule="exact"/>
        <w:rPr>
          <w:rFonts w:ascii="Times New Roman" w:cs="Times New Roman" w:eastAsia="Times New Roman" w:hAnsi="Times New Roman"/>
          <w:sz w:val="18"/>
          <w:szCs w:val="18"/>
          <w:color w:val="auto"/>
        </w:rPr>
      </w:pPr>
    </w:p>
    <w:p>
      <w:pPr>
        <w:ind w:left="900" w:right="46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that are inhaled, infused, instilled, implanted or injected;</w:t>
      </w:r>
    </w:p>
    <w:p>
      <w:pPr>
        <w:spacing w:after="0" w:line="121"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a manufacturers’ Medicaid rebate liability to covered drugs dispensed to individuals who are enrolled in Medicaid managed care organizations;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84" w:lineRule="exact"/>
        <w:rPr>
          <w:rFonts w:ascii="Times New Roman" w:cs="Times New Roman" w:eastAsia="Times New Roman" w:hAnsi="Times New Roman"/>
          <w:sz w:val="18"/>
          <w:szCs w:val="18"/>
          <w:color w:val="auto"/>
        </w:rPr>
      </w:pPr>
    </w:p>
    <w:p>
      <w:pPr>
        <w:ind w:left="900" w:right="34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21" w:lineRule="exact"/>
        <w:rPr>
          <w:rFonts w:ascii="Times New Roman" w:cs="Times New Roman" w:eastAsia="Times New Roman" w:hAnsi="Times New Roman"/>
          <w:sz w:val="18"/>
          <w:szCs w:val="18"/>
          <w:color w:val="auto"/>
        </w:rPr>
      </w:pPr>
    </w:p>
    <w:p>
      <w:pPr>
        <w:ind w:left="900" w:right="62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Innovation at CMS to test innovative payment and service delivery models to lower Medicare and Medicaid spending, potentially including prescription drug spending.</w:t>
      </w:r>
    </w:p>
    <w:p>
      <w:pPr>
        <w:spacing w:after="0" w:line="121"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and political challenges to certain aspects of the Affordable Care Act, and we expect there will be additional challenges and amendments to the Affordable Care Act in the future. For example,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or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have stated that the ruling will have no immediate effect, it is unclear how this decision, subsequent appeals, and other efforts to repeal and replace the Affordable Care Act will impact the Affordable Care Act and our business.</w:t>
      </w:r>
    </w:p>
    <w:p>
      <w:pPr>
        <w:spacing w:after="0" w:line="14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including the Bipartisan Budget Act of 2018,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43" w:lineRule="exact"/>
        <w:rPr>
          <w:sz w:val="20"/>
          <w:szCs w:val="20"/>
          <w:color w:val="auto"/>
        </w:rPr>
      </w:pPr>
    </w:p>
    <w:p>
      <w:pPr>
        <w:ind w:right="380" w:firstLine="518"/>
        <w:spacing w:after="0" w:line="261"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53"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58</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8" w:name="page59"/>
    <w:bookmarkEnd w:id="58"/>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 reference pricing systems and publication of discounts and list prices. These reforms could reduce the ultimate demand for vonoprazan and any future product candidates, if approved, or put pressure on our product pricing, which could negatively affect our business, results of operations, financial condition and prospects.</w:t>
      </w:r>
    </w:p>
    <w:p>
      <w:pPr>
        <w:spacing w:after="0" w:line="15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or Right to Try Act, was signed into law. The law, among other things, provides a federal framework for certain patients to access certain investigational new drug products that have completed a Phase 1 clinical trial.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43"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expect that these new laws and other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vonoprazan and any future product candidates, if approved.</w:t>
      </w:r>
    </w:p>
    <w:p>
      <w:pPr>
        <w:spacing w:after="0" w:line="13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3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spacing w:after="0" w:line="14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4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trials of vonoprazan and any future product candidates and will face an even greater risk if we commercialize vonoprazan and any future product candidates. For example, we may be sued if vonoprazan and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59</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59" w:name="page60"/>
    <w:bookmarkEnd w:id="59"/>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49" w:lineRule="exact"/>
        <w:rPr>
          <w:sz w:val="20"/>
          <w:szCs w:val="20"/>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vonoprazan and any future product candidates;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18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currently do not have product liability insurance coverage, but will need to obtain such coverage as we begin our clinical trials or if we commence commercialization of vonoprazan and any future product candidates. Insurance coverage is increasingly expensive. Our inability to obtain and retain sufficient product liability insurance at an acceptable cost to protect against potential product liability claims could prevent or inhibit the commercialization of vonoprazan and any future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4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others, including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118"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If we or any of our potential future collaborators are successful in commercializing vonoprazan or any future product candidates, the FDA and foreign regulatory authorities would require that we and Takeda (with respect to vonoprazan) and any of our current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Takeda and any of our potential future collaborators or CROs may fail to report adverse events within the prescribed timeframe. If we, Takeda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breaches, which could result in a material disruption of our product development programs.</w:t>
      </w:r>
    </w:p>
    <w:p>
      <w:pPr>
        <w:spacing w:after="0" w:line="118"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 Despite the implementation of security measures, our internal computer systems and those of our current and any future CROs and other contractors, consultants and collaborators are vulnerable to damage from computer viruses, cybersecurity threats, unauthorized access, natural disasters, terrorism, war and telecommunication and electrical failures. If such an event were to occur and cause interruptions in our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60</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0" w:name="page61"/>
    <w:bookmarkEnd w:id="60"/>
    <w:p>
      <w:pPr>
        <w:ind w:right="20"/>
        <w:spacing w:after="0" w:line="254" w:lineRule="auto"/>
        <w:rPr>
          <w:sz w:val="20"/>
          <w:szCs w:val="20"/>
          <w:color w:val="auto"/>
        </w:rPr>
      </w:pPr>
      <w:r>
        <w:rPr>
          <w:rFonts w:ascii="Times New Roman" w:cs="Times New Roman" w:eastAsia="Times New Roman" w:hAnsi="Times New Roman"/>
          <w:sz w:val="18"/>
          <w:szCs w:val="18"/>
          <w:color w:val="auto"/>
        </w:rPr>
        <w:t>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cause us to incur significant costs, including legal expenses, harm customer confidence, hurt our expansion into new markets, cause us to incur remediation costs, or cause us to lose existing customers. For example, the loss of clinical trial data from completed or future clinical trials could result in delays in our regulatory approval efforts and significantly increase our costs to recover or reproduce the data. We also rely on third parties to manufacture vonoprazan and any future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the further development and commercialization of vonoprazan and any future product candidates could be delayed, and we could be subject to significant fines, penalties or liabilities for any noncompliance to certain privacy and security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vonoprazan and any future product candidates. Our ability to obtain clinical supplies of vonoprazan and any future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4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32"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other unauthorized activities that violate: (i) the laws and regulations of the FDA and other similar regulatory bodies, including those laws that require the reporting of true, complete and accurate information to such regulatory bodies, (ii) manufacturing standards, including cGMP requirements, or (iii) federal and state healthcare, security, fraud and abuse laws, data privacy and security laws, and other similar non-U.S.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contractual damages, reputational harm, diminished profits and future earnings, and curtailment of our operations, any of which could adversely affect our ability to operate our business and our results of operations.</w:t>
      </w:r>
    </w:p>
    <w:p>
      <w:pPr>
        <w:spacing w:after="0" w:line="15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34"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61</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1" w:name="page62"/>
    <w:bookmarkEnd w:id="61"/>
    <w:p>
      <w:pPr>
        <w:ind w:right="520"/>
        <w:spacing w:after="0" w:line="282" w:lineRule="auto"/>
        <w:rPr>
          <w:sz w:val="20"/>
          <w:szCs w:val="20"/>
          <w:color w:val="auto"/>
        </w:rPr>
      </w:pPr>
      <w:r>
        <w:rPr>
          <w:rFonts w:ascii="Times New Roman" w:cs="Times New Roman" w:eastAsia="Times New Roman" w:hAnsi="Times New Roman"/>
          <w:sz w:val="18"/>
          <w:szCs w:val="18"/>
          <w:color w:val="auto"/>
        </w:rPr>
        <w:t>imprisonment, the loss of export or import privileges, debarment, tax reassessments, breach of contract and fraud litigation, reputational harm and other consequences.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89" w:lineRule="exact"/>
        <w:rPr>
          <w:sz w:val="20"/>
          <w:szCs w:val="20"/>
          <w:color w:val="auto"/>
        </w:rPr>
      </w:pPr>
    </w:p>
    <w:p>
      <w:pPr>
        <w:ind w:right="200" w:firstLine="518"/>
        <w:spacing w:after="0" w:line="253"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similar to our approach in in-licensing and acquiring our current product candidates.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protection and trade secret protection for vonoprazan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vonoprazan or any future product candidates, our competitive position could be harmed. We generally seek to protect our proprietary position by filing patent applications in the United States and abroad related to vonoprazan or any future product candidates, proprietary technologies and their uses that are important to our business. We do not currently own any issued patents or pending patent applications. We also seek to protect our proprietary position by acquiring or in-licensing relevant issued patents or pending patent applications from third parties. We have in-licensed from Takeda a number of United States, European, and Canadian patents and patent applications relating to the compound vonoprazan as well as the use and manufacture of vonoprazan products.</w:t>
      </w:r>
    </w:p>
    <w:p>
      <w:pPr>
        <w:spacing w:after="0" w:line="14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future patent applications or the patent applications of our current and future licensors will result in patents being issued or that issued patents will afford sufficient protection against competitors with similar technology, nor can there be any assurance that the patents if issued will not be infringed, designed around or invalidated by third parties.</w:t>
      </w:r>
    </w:p>
    <w:p>
      <w:pPr>
        <w:spacing w:after="0" w:line="15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vonoprazan and any future product candidates could have a material adverse effect on our financial condition and results of operations.</w:t>
      </w:r>
    </w:p>
    <w:p>
      <w:pPr>
        <w:spacing w:after="0" w:line="143"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cannot be certain that the claims in our licensor’s U.S. pending patent applications, corresponding international patent applications and patent applications in certain foreign countries will be considered patentable by the United States Patent and Trademark Office, or USPTO, courts in the United States or by the patent offices and courts in foreign countries, nor can we be certain that the claims in our licensor’s issued patents will not be found invalid or unenforceable if challenged.</w:t>
      </w:r>
    </w:p>
    <w:p>
      <w:pPr>
        <w:spacing w:after="0" w:line="14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vonoprazan and any future product candidates by obtaining and defending patents. These risks and uncertainties include the following:</w:t>
      </w:r>
    </w:p>
    <w:p>
      <w:pPr>
        <w:spacing w:after="0" w:line="149" w:lineRule="exact"/>
        <w:rPr>
          <w:sz w:val="20"/>
          <w:szCs w:val="20"/>
          <w:color w:val="auto"/>
        </w:rPr>
      </w:pPr>
    </w:p>
    <w:p>
      <w:pPr>
        <w:jc w:val="both"/>
        <w:ind w:left="900" w:right="260" w:hanging="379"/>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3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62</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2" w:name="page63"/>
    <w:bookmarkEnd w:id="62"/>
    <w:p>
      <w:pPr>
        <w:ind w:left="900" w:right="820" w:hanging="379"/>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121" w:lineRule="exact"/>
        <w:rPr>
          <w:rFonts w:ascii="Times New Roman" w:cs="Times New Roman" w:eastAsia="Times New Roman" w:hAnsi="Times New Roman"/>
          <w:sz w:val="18"/>
          <w:szCs w:val="18"/>
          <w:color w:val="auto"/>
        </w:rPr>
      </w:pPr>
    </w:p>
    <w:p>
      <w:pPr>
        <w:ind w:left="900" w:right="260" w:hanging="379"/>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vonoprazan and any future product candidates;</w:t>
      </w:r>
    </w:p>
    <w:p>
      <w:pPr>
        <w:spacing w:after="0" w:line="135" w:lineRule="exact"/>
        <w:rPr>
          <w:rFonts w:ascii="Times New Roman" w:cs="Times New Roman" w:eastAsia="Times New Roman" w:hAnsi="Times New Roman"/>
          <w:sz w:val="18"/>
          <w:szCs w:val="18"/>
          <w:color w:val="auto"/>
        </w:rPr>
      </w:pPr>
    </w:p>
    <w:p>
      <w:pPr>
        <w:ind w:left="900" w:right="480" w:hanging="379"/>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35" w:lineRule="exact"/>
        <w:rPr>
          <w:rFonts w:ascii="Times New Roman" w:cs="Times New Roman" w:eastAsia="Times New Roman" w:hAnsi="Times New Roman"/>
          <w:sz w:val="18"/>
          <w:szCs w:val="18"/>
          <w:color w:val="auto"/>
        </w:rPr>
      </w:pPr>
    </w:p>
    <w:p>
      <w:pPr>
        <w:ind w:left="900" w:right="620" w:hanging="379"/>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also expensive and time consuming, and we and our licensor may not be able to file and prosecute all necessary or desirable patent applications at a reasonable cost or in a timely manner or in all jurisdictions where protection may be commercially advantageous. It is also possible that we and our licensor will fail to identify patentable aspects of our research and development output before it is too late to obtain patent protection. Moreover, in some circumstances such as under the Takeda License, we do not have the right to control the preparation, filing and prosecution of patent applications, or to maintain the patents, directed to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162" w:lineRule="exact"/>
        <w:rPr>
          <w:sz w:val="20"/>
          <w:szCs w:val="20"/>
          <w:color w:val="auto"/>
        </w:rPr>
      </w:pPr>
    </w:p>
    <w:p>
      <w:pPr>
        <w:ind w:right="80" w:firstLine="518"/>
        <w:spacing w:after="0" w:line="281" w:lineRule="auto"/>
        <w:rPr>
          <w:sz w:val="20"/>
          <w:szCs w:val="20"/>
          <w:color w:val="auto"/>
        </w:rPr>
      </w:pPr>
      <w:r>
        <w:rPr>
          <w:rFonts w:ascii="Times New Roman" w:cs="Times New Roman" w:eastAsia="Times New Roman" w:hAnsi="Times New Roman"/>
          <w:sz w:val="17"/>
          <w:szCs w:val="17"/>
          <w:color w:val="auto"/>
        </w:rPr>
        <w:t>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2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3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including our rights in vonoprazan licensed from Takeda, or otherwise experience disruptions to our business relationships with our licensors, we could lose license rights that are important to our business.</w:t>
      </w:r>
    </w:p>
    <w:p>
      <w:pPr>
        <w:spacing w:after="0" w:line="148"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are a party to the Takeda License under which we are granted rights to intellectual property that are important to our business and we may enter into additional license agreements in the future with other third parties. The Takeda License imposes,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Additionally, if a future license agreement includes a sublicense from a third party who is not the original licensor of the intellectual property at issue, then we must rely on our direct licensor to comply with its obligations under the primary license agreements under which such licensor obtained rights in the applicable intellectual property, where we may have no relationship with the original licensor of such rights. If such a licensor fails to comply with its obligations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vonoprazan and any future product candidates incorporating the relevant intellectual property.</w:t>
      </w:r>
    </w:p>
    <w:p>
      <w:pPr>
        <w:spacing w:after="0" w:line="150" w:lineRule="exact"/>
        <w:rPr>
          <w:sz w:val="20"/>
          <w:szCs w:val="20"/>
          <w:color w:val="auto"/>
        </w:rPr>
      </w:pPr>
    </w:p>
    <w:p>
      <w:pPr>
        <w:ind w:right="60" w:firstLine="518"/>
        <w:spacing w:after="0" w:line="274" w:lineRule="auto"/>
        <w:rPr>
          <w:sz w:val="20"/>
          <w:szCs w:val="20"/>
          <w:color w:val="auto"/>
        </w:rPr>
      </w:pPr>
      <w:r>
        <w:rPr>
          <w:rFonts w:ascii="Times New Roman" w:cs="Times New Roman" w:eastAsia="Times New Roman" w:hAnsi="Times New Roman"/>
          <w:sz w:val="17"/>
          <w:szCs w:val="17"/>
          <w:color w:val="auto"/>
        </w:rPr>
        <w:t>We may need to obtain further licenses from third parties to advance our research or allow commercialization of vonoprazan and any future product candidates, and we cannot provide any assurances that third-party patents do not exist which might be enforced against vonoprazan and any future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63</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either an injunction prohibiting our sales, or, with respect to our sales, an obligation on our part to pay royalties and/or other forms of compensation.</w:t>
      </w:r>
    </w:p>
    <w:p>
      <w:pPr>
        <w:spacing w:after="0" w:line="198"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21" w:lineRule="exact"/>
        <w:rPr>
          <w:sz w:val="20"/>
          <w:szCs w:val="20"/>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900" w:right="20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84"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vonoprazan and any future product candidates, and what activities satisfy those diligence obligations;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84" w:lineRule="exact"/>
        <w:rPr>
          <w:rFonts w:ascii="Times New Roman" w:cs="Times New Roman" w:eastAsia="Times New Roman" w:hAnsi="Times New Roman"/>
          <w:sz w:val="18"/>
          <w:szCs w:val="18"/>
          <w:color w:val="auto"/>
        </w:rPr>
      </w:pPr>
    </w:p>
    <w:p>
      <w:pPr>
        <w:ind w:left="900" w:right="62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3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 with Takeda with respect to any licensed product, we may be required to wait for a certain period or until the occurrence of certain funding or development milestones.</w:t>
      </w:r>
    </w:p>
    <w:p>
      <w:pPr>
        <w:spacing w:after="0" w:line="14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18"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in-licensed pending and future patent applications may not result in patents being issued which protect vonoprazan or any future product candidates or which effectively prevent others from commercializing competitive product candidates.</w:t>
      </w:r>
    </w:p>
    <w:p>
      <w:pPr>
        <w:spacing w:after="0" w:line="14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in the future or license currently issue as patents, they may not issue in a form that will provide us with any meaningful protection, prevent competitors or other third parties from competing with us, or otherwise provide us with any competitive advantage. Any future patents that we own or license, now or in the future, may be challenged or circumvented by third parties or may be narrowed or invalidated as a result of challenges by third parties. Consequently, we do not know whether vonoprazan or any future product candidates will be protectable or remain protected by valid and enforceable patents. Our competitors or other third parties may be able to circumvent our future patents or the patents of our current and future licensors by developing similar or alternative technologies or products in a non-infringing manner which could materially adversely affect our business, financial condition, results of operations and prospects.</w:t>
      </w:r>
    </w:p>
    <w:p>
      <w:pPr>
        <w:spacing w:after="0" w:line="158"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in-licensed patents and patent applications has been found. There is also no assurance that there is not prior art of which we, our predecessors or licensors are aware, but which we do not believe affects the validity or enforceability of a claim in our in-licensed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vonoprazan or any future product candidates and compete directly with us, without payment to us. It is possible that defects of form in the preparation or filing of our or our current and future licensors’ patents or patent applications may exist, or may arise in the future, for example with respect to proper priority claims, inventorship, claim scope, or requests for patent term adjustments. If there are material</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64</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4" w:name="page65"/>
    <w:bookmarkEnd w:id="64"/>
    <w:p>
      <w:pPr>
        <w:ind w:right="160"/>
        <w:spacing w:after="0" w:line="282" w:lineRule="auto"/>
        <w:rPr>
          <w:sz w:val="20"/>
          <w:szCs w:val="20"/>
          <w:color w:val="auto"/>
        </w:rPr>
      </w:pPr>
      <w:r>
        <w:rPr>
          <w:rFonts w:ascii="Times New Roman" w:cs="Times New Roman" w:eastAsia="Times New Roman" w:hAnsi="Times New Roman"/>
          <w:sz w:val="18"/>
          <w:szCs w:val="18"/>
          <w:color w:val="auto"/>
        </w:rPr>
        <w:t>defects in the form, preparation, prosecution, or enforcement of our future patents or future patent applications or our current and future licensors’ patents or patent applications, such patents may be invalid and/or unenforceable, and such applications may never result in valid, enforceable patents.</w:t>
      </w:r>
    </w:p>
    <w:p>
      <w:pPr>
        <w:spacing w:after="0" w:line="135"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Any loss of patent rights, loss of exclusivity or in patent claims being narrowed, invalidated or held unenforceable could limit our ability to stop others from using or commercializing similar or identical technology and products, or limit the duration of the patent protection of vonoprazan or any future product candidates, which could materially and adversely impact our business. Such proceedings also may result in substantial cost and require significant time from our scientists and management, even if the eventual outcome is favorable to us. In addition, if the breadth or strength of protection provided by our future patents and future patent applications or the patents and patent applications of our current and future licensors is threatened, regardless of the outcome, it could dissuade companies from collaborating with us to license, develop or commercialize vonoprazan or any future product candidates.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vonoprazan or any future product candidates may be dependent on third parties.</w:t>
      </w:r>
    </w:p>
    <w:p>
      <w:pPr>
        <w:spacing w:after="0" w:line="18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may rely on third parties to file and prosecute patent applications and maintain patents and otherwise protect the licensed intellectual property under certain current and future license agreements, such as the Takeda License. Under such arrangements, we may not have primary control over these activities for certain of licensed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In addition, our current and future licensors may not be fully cooperative or disagree with us as to the prosecution, maintenance or enforcement of any patent rights, which could compromise such patent rights. We may in the future enter into license agreements where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vonoprazan or any future product candidates, our ability to develop and commercialize those product candidates may be adversely affected and we may not be able to prevent competitors from making, using and selling competing products.</w:t>
      </w:r>
    </w:p>
    <w:p>
      <w:pPr>
        <w:spacing w:after="0" w:line="16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addition, even where we have the right to control prosecution of patent applications or enforcement of patents we have acquired or licensed from third parties, we may still be adversely affected or prejudiced by actions or inactions of our predecessors or licensors and their counsel that took place prior to us assuming control over such activities.</w:t>
      </w:r>
    </w:p>
    <w:p>
      <w:pPr>
        <w:spacing w:after="0" w:line="13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Third parties may retain certain rights to the technology that they license to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under the Takeda License, Takeda retained the rights to the inventions in all countries other than the United States, Europe, and Canada. Takeda also retained the right to development certain drug products that contain vonoprazan where vonoprazan is not the only active pharmaceutical ingredient. It is difficult to monitor whether our predecessors or licensors limit their use of the technology to these uses, and we could incur substantial expenses to enforce our rights to our licensed technology in the event of misuse.</w:t>
      </w:r>
    </w:p>
    <w:p>
      <w:pPr>
        <w:spacing w:after="0" w:line="14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our product candidate.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8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900" w:right="20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vonoprazan or any future product candidates but that are not covered by the claims of the patents that we own in the future or license;</w:t>
      </w:r>
    </w:p>
    <w:p>
      <w:pPr>
        <w:spacing w:after="0" w:line="121"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and future licensors or predecessors might not have been the first to make the inventions covered by the issued patents or patent applications that we own in the future or license;</w:t>
      </w:r>
    </w:p>
    <w:p>
      <w:pPr>
        <w:spacing w:after="0" w:line="121"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and future licensors or predecessors might not have been the first to file patent applications covering certain of the claimed inventions;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65</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5" w:name="page66"/>
    <w:bookmarkEnd w:id="65"/>
    <w:p>
      <w:pPr>
        <w:ind w:left="900" w:right="44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in the future or license may be held invalid or unenforceable, as a result of legal challenges by our competitors;</w:t>
      </w:r>
    </w:p>
    <w:p>
      <w:pPr>
        <w:spacing w:after="0" w:line="184"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19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3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vonoprazan and any future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 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vonoprazan and any future product candidates.</w:t>
      </w:r>
    </w:p>
    <w:p>
      <w:pPr>
        <w:spacing w:after="0" w:line="14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vonoprazan and any future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vonoprazan and any future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vonoprazan and any future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these patents. Any claims of patent infringement asserted by third parties would be time consuming and could:</w:t>
      </w:r>
    </w:p>
    <w:p>
      <w:pPr>
        <w:spacing w:after="0" w:line="162" w:lineRule="exact"/>
        <w:rPr>
          <w:sz w:val="20"/>
          <w:szCs w:val="20"/>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84"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vonoprazan and any future product candidates until the asserted patent expires or is held finally invalid or not infringed in a court of law;</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84" w:lineRule="exact"/>
        <w:rPr>
          <w:rFonts w:ascii="Times New Roman" w:cs="Times New Roman" w:eastAsia="Times New Roman" w:hAnsi="Times New Roman"/>
          <w:sz w:val="18"/>
          <w:szCs w:val="18"/>
          <w:color w:val="auto"/>
        </w:rPr>
      </w:pPr>
    </w:p>
    <w:p>
      <w:pPr>
        <w:ind w:left="900" w:right="18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66</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6" w:name="page67"/>
    <w:bookmarkEnd w:id="66"/>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Quarterly Report on Form 10-Q, others may hold proprietary rights that could prevent vonoprazan and any future product candidates from being marketed.</w:t>
      </w:r>
    </w:p>
    <w:p>
      <w:pPr>
        <w:spacing w:after="0" w:line="135"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Any patent-related legal action against us claiming damages and seeking to enjoin activities relating to vonoprazan and any future product candidates or processes could subject us to potential liability for damages, including treble damages if we were determined to willfully infringe, and require us to obtain a license to manufacture or develop vonoprazan and any future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vonoprazan and any future product candidates or processes to avoid infringement, if necessary. Accordingly, an adverse determination in a judicial or administrative proceeding, or the failure to obtain necessary licenses, could prevent us from developing and commercializing vonoprazan and any future product candidates, which could harm our business, financial condition and operating results.</w:t>
      </w:r>
    </w:p>
    <w:p>
      <w:pPr>
        <w:spacing w:after="0" w:line="146"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3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vonoprazan and any future product candidates through acquisitions and in-licenses.</w:t>
      </w:r>
    </w:p>
    <w:p>
      <w:pPr>
        <w:spacing w:after="0" w:line="13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other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vonoprazan and any future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future patents or the patents of our current and future licensors, which could be expensive, time consuming and unsuccessful. Further, our future issued patents or the patents of our current and future licensors could be found invalid or unenforceable if challenged in court.</w:t>
      </w:r>
    </w:p>
    <w:p>
      <w:pPr>
        <w:spacing w:after="0" w:line="13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rights or those of our current and future licensors. To prevent infringement or unauthorized use, we and/or any such licensors may be required to file infringement claims, which can be expensive and time consuming. In addition, in a patent infringement proceeding, a court may decide that a patent we own or license is not valid, is unenforceable and/or is not infringed. If we or any of our current and future licensors were to initiate legal proceedings against a third party to enforce a patent directed at vonoprazan and any future product candidates, the defendant could counterclaim that our patent or the patent of our current or future licensor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future patents and future patent applications or those of our current and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40"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67</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7" w:name="page68"/>
    <w:bookmarkEnd w:id="67"/>
    <w:p>
      <w:pPr>
        <w:ind w:right="240"/>
        <w:spacing w:after="0" w:line="261" w:lineRule="auto"/>
        <w:rPr>
          <w:sz w:val="20"/>
          <w:szCs w:val="20"/>
          <w:color w:val="auto"/>
        </w:rPr>
      </w:pPr>
      <w:r>
        <w:rPr>
          <w:rFonts w:ascii="Times New Roman" w:cs="Times New Roman" w:eastAsia="Times New Roman" w:hAnsi="Times New Roman"/>
          <w:sz w:val="18"/>
          <w:szCs w:val="18"/>
          <w:color w:val="auto"/>
        </w:rPr>
        <w:t>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3"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8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5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1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Derivation or interference proceedings provoked by third parties or brought by us or declared by the USPTO or similar proceedings in foreign patent offices may be necessary to determine the priority of inventions with respect to our future patents or future patent applications or those of our current and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vonoprazan and any future product candidates to market.</w:t>
      </w:r>
    </w:p>
    <w:p>
      <w:pPr>
        <w:spacing w:after="0" w:line="14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future patent applications or those of our current and future licensors and the enforcement or defense of our future issued patents or those of our current and future licensors.</w:t>
      </w:r>
    </w:p>
    <w:p>
      <w:pPr>
        <w:spacing w:after="0" w:line="132"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current and future licensors are the first to either (1) file any patent application related to vonoprazan and any future product candidates or (2) invent any of the inventions claimed in the patents or patent applications.</w:t>
      </w:r>
    </w:p>
    <w:p>
      <w:pPr>
        <w:spacing w:after="0" w:line="15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4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future patent applications or those of</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68</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8" w:name="page69"/>
    <w:bookmarkEnd w:id="68"/>
    <w:p>
      <w:pPr>
        <w:ind w:right="360"/>
        <w:spacing w:after="0" w:line="282" w:lineRule="auto"/>
        <w:rPr>
          <w:sz w:val="20"/>
          <w:szCs w:val="20"/>
          <w:color w:val="auto"/>
        </w:rPr>
      </w:pPr>
      <w:r>
        <w:rPr>
          <w:rFonts w:ascii="Times New Roman" w:cs="Times New Roman" w:eastAsia="Times New Roman" w:hAnsi="Times New Roman"/>
          <w:sz w:val="18"/>
          <w:szCs w:val="18"/>
          <w:color w:val="auto"/>
        </w:rPr>
        <w:t>our current and future licensors and the enforcement or defense of our future issued patents or those of our current and future licensors, all of which could have a material adverse effect on our business, financial condition, results of operations and prospects.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vonoprazan and any future product candidates.</w:t>
      </w:r>
    </w:p>
    <w:p>
      <w:pPr>
        <w:spacing w:after="0" w:line="118"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future patents or in third-party patents. In addition, Congress or other foreign legislative bodies may pass patent reform legislation that is unfavorable to us. For example, a new bill (Terminating the Extension of Rights Misappropriated Act H.R. 3199) percolating through the United States Congress aims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the existing licensed patents and the patents we might obtain or license in the future.</w:t>
      </w:r>
    </w:p>
    <w:p>
      <w:pPr>
        <w:spacing w:after="0" w:line="15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the patents of our current and future licensors, or other intellectual property</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future patents, the patents of our current and future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vonoprazan and any future product candidates for an adequate amount of time.</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vonoprazan and any future product candidates are obtained, once the patent life has expired, we may be open to competition from competitive products. Given the amount of time required for the development, testing and regulatory review of product candidates, patents protecting vonoprazan and any future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vonoprazan and any future product candidates, our business may be materially harmed.</w:t>
      </w:r>
    </w:p>
    <w:p>
      <w:pPr>
        <w:spacing w:after="0" w:line="18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vonoprazan and any future product candidates, one or more of our U.S. patents or those of our current and future licensors,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vonoprazan and any future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69</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development and trials by referencing our clinical and preclinical data and launch their product earlier than might otherwise be the case.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our licensed territories.</w:t>
      </w:r>
    </w:p>
    <w:p>
      <w:pPr>
        <w:spacing w:after="0" w:line="18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Although we have issued patents and pending patent applications in the United States and certain other countries in which we intend to commercialize our products, filing, prosecuting and defending patents in all relevant countries throughout the could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vonoprazan or any future product candidates, and our patents, the patents of our current and future licensors or other intellectual property rights may not be effective or sufficient to prevent them from competing.</w:t>
      </w:r>
    </w:p>
    <w:p>
      <w:pPr>
        <w:spacing w:after="0" w:line="149"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intellectual property rights or marketing of competing products in violation of our proprietary rights. Proceedings to enforce our patent rights in foreign jurisdictions could result in substantial costs and divert our efforts and attention from other aspects of our business, could put our future patents or the patents of our current and future licensors at risk of being invalidated or interpreted narrowly and our future patent applications or the patent applications of our current and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2"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36"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34" w:lineRule="exact"/>
        <w:rPr>
          <w:sz w:val="20"/>
          <w:szCs w:val="20"/>
          <w:color w:val="auto"/>
        </w:rPr>
      </w:pPr>
    </w:p>
    <w:p>
      <w:pPr>
        <w:ind w:right="300" w:firstLine="518"/>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future patents and/or future applications and those of our current and future licensors.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89"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w:t>
      </w:r>
    </w:p>
    <w:p>
      <w:pPr>
        <w:spacing w:after="0" w:line="14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70</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0" w:name="page71"/>
    <w:bookmarkEnd w:id="70"/>
    <w:p>
      <w:pPr>
        <w:ind w:right="160"/>
        <w:spacing w:after="0" w:line="266" w:lineRule="auto"/>
        <w:rPr>
          <w:sz w:val="20"/>
          <w:szCs w:val="20"/>
          <w:color w:val="auto"/>
        </w:rPr>
      </w:pPr>
      <w:r>
        <w:rPr>
          <w:rFonts w:ascii="Times New Roman" w:cs="Times New Roman" w:eastAsia="Times New Roman" w:hAnsi="Times New Roman"/>
          <w:sz w:val="18"/>
          <w:szCs w:val="18"/>
          <w:color w:val="auto"/>
        </w:rPr>
        <w:t>we otherwise lose protection for our trade secrets, the value of this information may be greatly reduced and our competitive position would be harmed. If we cannot otherwise maintain the confidentiality of our proprietary technology and other confidential information, then our ability to protect our trade secret information may be jeopardized.</w:t>
      </w:r>
    </w:p>
    <w:p>
      <w:pPr>
        <w:spacing w:after="0" w:line="1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1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vonoprazan and any future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4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2"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4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have or may enter into in the future may not be successful, which could adversely affect our ability to develop and commercialize our products.</w:t>
      </w:r>
    </w:p>
    <w:p>
      <w:pPr>
        <w:spacing w:after="0" w:line="118" w:lineRule="exact"/>
        <w:rPr>
          <w:sz w:val="20"/>
          <w:szCs w:val="20"/>
          <w:color w:val="auto"/>
        </w:rPr>
      </w:pPr>
    </w:p>
    <w:p>
      <w:pPr>
        <w:ind w:right="340" w:firstLine="518"/>
        <w:spacing w:after="0" w:line="289" w:lineRule="auto"/>
        <w:rPr>
          <w:sz w:val="20"/>
          <w:szCs w:val="20"/>
          <w:color w:val="auto"/>
        </w:rPr>
      </w:pPr>
      <w:r>
        <w:rPr>
          <w:rFonts w:ascii="Times New Roman" w:cs="Times New Roman" w:eastAsia="Times New Roman" w:hAnsi="Times New Roman"/>
          <w:sz w:val="17"/>
          <w:szCs w:val="17"/>
          <w:color w:val="auto"/>
        </w:rPr>
        <w:t>The success of our collaboration arrangements will depend heavily on the efforts and activities of our collaborators and partners. Under the Takeda License, for example, Takeda has certain obligations with respect to assisting with the transition of information and materials to us as well as providing clinical and commercial supply of the vonoprazan product. Collaborations and partnerships are subject to numerous risks, which may include that:</w:t>
      </w:r>
    </w:p>
    <w:p>
      <w:pPr>
        <w:spacing w:after="0" w:line="131" w:lineRule="exact"/>
        <w:rPr>
          <w:sz w:val="20"/>
          <w:szCs w:val="20"/>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84" w:lineRule="exact"/>
        <w:rPr>
          <w:rFonts w:ascii="Times New Roman" w:cs="Times New Roman" w:eastAsia="Times New Roman" w:hAnsi="Times New Roman"/>
          <w:sz w:val="18"/>
          <w:szCs w:val="18"/>
          <w:color w:val="auto"/>
        </w:rPr>
      </w:pPr>
    </w:p>
    <w:p>
      <w:pPr>
        <w:jc w:val="both"/>
        <w:ind w:left="900" w:right="720" w:hanging="379"/>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5"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w:t>
      </w:r>
    </w:p>
    <w:p>
      <w:pPr>
        <w:spacing w:after="0" w:line="121"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84" w:lineRule="exact"/>
        <w:rPr>
          <w:rFonts w:ascii="Times New Roman" w:cs="Times New Roman" w:eastAsia="Times New Roman" w:hAnsi="Times New Roman"/>
          <w:sz w:val="18"/>
          <w:szCs w:val="18"/>
          <w:color w:val="auto"/>
        </w:rPr>
      </w:pPr>
    </w:p>
    <w:p>
      <w:pPr>
        <w:jc w:val="both"/>
        <w:ind w:left="900" w:right="120" w:hanging="379"/>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71</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1" w:name="page72"/>
    <w:bookmarkEnd w:id="71"/>
    <w:p>
      <w:pPr>
        <w:ind w:left="900" w:right="240" w:hanging="379"/>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21" w:lineRule="exact"/>
        <w:rPr>
          <w:rFonts w:ascii="Times New Roman" w:cs="Times New Roman" w:eastAsia="Times New Roman" w:hAnsi="Times New Roman"/>
          <w:sz w:val="18"/>
          <w:szCs w:val="18"/>
          <w:color w:val="auto"/>
        </w:rPr>
      </w:pPr>
    </w:p>
    <w:p>
      <w:pPr>
        <w:ind w:left="900" w:right="1280" w:hanging="379"/>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121"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1" w:lineRule="exact"/>
        <w:rPr>
          <w:rFonts w:ascii="Times New Roman" w:cs="Times New Roman" w:eastAsia="Times New Roman" w:hAnsi="Times New Roman"/>
          <w:sz w:val="18"/>
          <w:szCs w:val="18"/>
          <w:color w:val="auto"/>
        </w:rPr>
      </w:pPr>
    </w:p>
    <w:p>
      <w:pPr>
        <w:ind w:left="900" w:right="360" w:hanging="379"/>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48" w:lineRule="exact"/>
        <w:rPr>
          <w:sz w:val="20"/>
          <w:szCs w:val="20"/>
          <w:color w:val="auto"/>
        </w:rPr>
      </w:pPr>
    </w:p>
    <w:p>
      <w:pPr>
        <w:ind w:right="80" w:firstLine="518"/>
        <w:spacing w:after="0" w:line="252" w:lineRule="auto"/>
        <w:rPr>
          <w:sz w:val="20"/>
          <w:szCs w:val="20"/>
          <w:color w:val="auto"/>
        </w:rPr>
      </w:pPr>
      <w:r>
        <w:rPr>
          <w:rFonts w:ascii="Times New Roman" w:cs="Times New Roman" w:eastAsia="Times New Roman" w:hAnsi="Times New Roman"/>
          <w:sz w:val="18"/>
          <w:szCs w:val="18"/>
          <w:color w:val="auto"/>
        </w:rPr>
        <w:t>We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maintained.</w:t>
      </w:r>
    </w:p>
    <w:p>
      <w:pPr>
        <w:spacing w:after="0" w:line="202" w:lineRule="exact"/>
        <w:rPr>
          <w:sz w:val="20"/>
          <w:szCs w:val="20"/>
          <w:color w:val="auto"/>
        </w:rPr>
      </w:pPr>
    </w:p>
    <w:p>
      <w:pPr>
        <w:ind w:right="280" w:firstLine="518"/>
        <w:spacing w:after="0" w:line="258" w:lineRule="auto"/>
        <w:rPr>
          <w:sz w:val="20"/>
          <w:szCs w:val="20"/>
          <w:color w:val="auto"/>
        </w:rPr>
      </w:pPr>
      <w:r>
        <w:rPr>
          <w:rFonts w:ascii="Times New Roman" w:cs="Times New Roman" w:eastAsia="Times New Roman" w:hAnsi="Times New Roman"/>
          <w:sz w:val="18"/>
          <w:szCs w:val="18"/>
          <w:color w:val="auto"/>
        </w:rPr>
        <w:t>Prior to our IPO, there has been no public market for our common stock. Our common stock only recently began trading on Nasdaq, but we can provide no assurance that we will be able to maintain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39" w:lineRule="exact"/>
        <w:rPr>
          <w:sz w:val="20"/>
          <w:szCs w:val="20"/>
          <w:color w:val="auto"/>
        </w:rPr>
      </w:pPr>
    </w:p>
    <w:p>
      <w:pPr>
        <w:jc w:val="right"/>
        <w:ind w:right="620"/>
        <w:spacing w:after="0" w:line="3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trading price of the shares of our common stock could be highly volatile, and purchasers of our common stock could incur substantial losses. </w:t>
      </w: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w:t>
      </w:r>
    </w:p>
    <w:p>
      <w:pPr>
        <w:ind w:right="120"/>
        <w:spacing w:after="0" w:line="255" w:lineRule="auto"/>
        <w:rPr>
          <w:sz w:val="20"/>
          <w:szCs w:val="20"/>
          <w:color w:val="auto"/>
        </w:rPr>
      </w:pPr>
      <w:r>
        <w:rPr>
          <w:rFonts w:ascii="Times New Roman" w:cs="Times New Roman" w:eastAsia="Times New Roman" w:hAnsi="Times New Roman"/>
          <w:sz w:val="18"/>
          <w:szCs w:val="18"/>
          <w:color w:val="auto"/>
        </w:rPr>
        <w:t>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59" w:lineRule="exact"/>
        <w:rPr>
          <w:sz w:val="20"/>
          <w:szCs w:val="20"/>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planned clinical trials;</w:t>
      </w:r>
    </w:p>
    <w:p>
      <w:pPr>
        <w:spacing w:after="0" w:line="184"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the results of clinical trials conducted by Takeda and others for vonoprazan, and the results of trials of our competitors or those of other companies in our market sector;</w:t>
      </w:r>
    </w:p>
    <w:p>
      <w:pPr>
        <w:spacing w:after="0" w:line="121"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vonoprazan and any future product candidates, or limitations to specific label indications or patient populations for its use, or changes or delays in the regulatory review process;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72</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2" w:name="page73"/>
    <w:bookmarkEnd w:id="72"/>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or loss of rights under the Takeda License;</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especially in light of current reforms to the U.S. healthcare system;</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acquire, license or develop additional product candidates;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insiders and stockholders, including Takeda;</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our control;</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84"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85"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could result in a delisting of our common stock.</w:t>
      </w:r>
    </w:p>
    <w:p>
      <w:pPr>
        <w:spacing w:after="0" w:line="18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4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132"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greater than 5% stockholders, in the aggregate, own approximately 47.9% of our outstanding common stock .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73</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3" w:name="page74"/>
    <w:bookmarkEnd w:id="73"/>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4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1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under the terms of the Loan Agreement, we are prohibited from paying any cash dividends without the consent of the lenders. Any return to stockholders will therefore be limited to the appreciation of their stock. Shares of our common stock may not appreciate in value or even maintain the price at which stockholders have purchased their shares.</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including Takeda, in the public market could cause our stock price to fall.</w:t>
      </w:r>
    </w:p>
    <w:p>
      <w:pPr>
        <w:spacing w:after="0" w:line="132"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21"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In connection with our IPO, our officers, directors and holders of substantially all of our outstanding securities entered into lock-up agreements with the underwriters pursuant to which they may not, with limited exceptions, for a period of 180 days from the date of the prospectus for the IPO, offer, sell or otherwise transfer or dispose of any of our securities, without the prior written consent of Goldman Sachs &amp; Co. LLC, Jefferies LLC and Evercore Group L.L.C. The underwriters may permit our officers, directors and other securityholders who are subject to the lock-up agreements to sell shares prior to the expiration of the lock-up agreements, subject to limitations. Sales of these shares, or perceptions that they will be sold, could cause the trading price of our common stock to decline. After the lock-up agreements expire, these shares of common stock will be eligible for sale in the public market of which 12,399,381 shares are held by directors, executive officers and other affiliates and will be subject to volume limitations under Rule 144 under the Securities Act.</w:t>
      </w:r>
    </w:p>
    <w:p>
      <w:pPr>
        <w:spacing w:after="0" w:line="14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as of September 30, 2019, up to 9,819,925 shares of common stock that are either subject to outstanding options, warrants or other rights or reserved for future issuance under our employee benefit plans will become eligible for sale in the public market to the extent permitted by the provisions of various vesting schedules, exercise limitations,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53"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The holders of 12,069,916 shares of our outstanding common stock, or approximately 41.6% of our total outstanding common stock as of September 30, 2019, will be entitled to rights with respect to the registration of their shares under the Securities Act, subject to vesting and the 180-day lock-up agreements described above. In addition, Takeda is entitled to the same rights with respect to the registration of 7,588,000 shares of our common stock underlying the Takeda Warrant.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4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company may make our common stock less attractive to investors.</w:t>
      </w:r>
    </w:p>
    <w:p>
      <w:pPr>
        <w:spacing w:after="0" w:line="118"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 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1" w:lineRule="exact"/>
        <w:rPr>
          <w:sz w:val="20"/>
          <w:szCs w:val="20"/>
          <w:color w:val="auto"/>
        </w:rPr>
      </w:pPr>
    </w:p>
    <w:p>
      <w:pPr>
        <w:ind w:left="900" w:right="60" w:hanging="379"/>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21"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74</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4" w:name="page75"/>
    <w:bookmarkEnd w:id="74"/>
    <w:p>
      <w:pPr>
        <w:ind w:left="900" w:right="760" w:hanging="379"/>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3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84" w:lineRule="exact"/>
        <w:rPr>
          <w:rFonts w:ascii="Times New Roman" w:cs="Times New Roman" w:eastAsia="Times New Roman" w:hAnsi="Times New Roman"/>
          <w:sz w:val="18"/>
          <w:szCs w:val="18"/>
          <w:color w:val="auto"/>
        </w:rPr>
      </w:pPr>
    </w:p>
    <w:p>
      <w:pPr>
        <w:ind w:left="900" w:right="360" w:hanging="379"/>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Investors may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61" w:lineRule="exact"/>
        <w:rPr>
          <w:sz w:val="20"/>
          <w:szCs w:val="20"/>
          <w:color w:val="auto"/>
        </w:rPr>
      </w:pPr>
    </w:p>
    <w:p>
      <w:pPr>
        <w:ind w:right="100" w:firstLine="518"/>
        <w:spacing w:after="0" w:line="277" w:lineRule="auto"/>
        <w:rPr>
          <w:sz w:val="20"/>
          <w:szCs w:val="20"/>
          <w:color w:val="auto"/>
        </w:rPr>
      </w:pPr>
      <w:r>
        <w:rPr>
          <w:rFonts w:ascii="Times New Roman" w:cs="Times New Roman" w:eastAsia="Times New Roman" w:hAnsi="Times New Roman"/>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4"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will be required to devote substantial time to new compliance initiatives.</w:t>
      </w:r>
    </w:p>
    <w:p>
      <w:pPr>
        <w:spacing w:after="0" w:line="118"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62"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4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18"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no securities or industry analysts commence or continue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75</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5" w:name="page76"/>
    <w:bookmarkEnd w:id="75"/>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32"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are in process of implementing additional financial and management controls, reporting systems and procedures; and hiring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4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There could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4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32"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36" w:lineRule="exact"/>
        <w:rPr>
          <w:sz w:val="20"/>
          <w:szCs w:val="20"/>
          <w:color w:val="auto"/>
        </w:rPr>
      </w:pPr>
    </w:p>
    <w:p>
      <w:pPr>
        <w:ind w:left="900" w:right="600" w:hanging="379"/>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21"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84" w:lineRule="exact"/>
        <w:rPr>
          <w:rFonts w:ascii="Times New Roman" w:cs="Times New Roman" w:eastAsia="Times New Roman" w:hAnsi="Times New Roman"/>
          <w:sz w:val="18"/>
          <w:szCs w:val="18"/>
          <w:color w:val="auto"/>
        </w:rPr>
      </w:pPr>
    </w:p>
    <w:p>
      <w:pPr>
        <w:jc w:val="both"/>
        <w:ind w:left="900" w:right="80" w:hanging="379"/>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35"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remove a director for cause, and the prohibition on removal of directors without cause;</w:t>
      </w:r>
    </w:p>
    <w:p>
      <w:pPr>
        <w:spacing w:after="0" w:line="121" w:lineRule="exact"/>
        <w:rPr>
          <w:rFonts w:ascii="Times New Roman" w:cs="Times New Roman" w:eastAsia="Times New Roman" w:hAnsi="Times New Roman"/>
          <w:sz w:val="18"/>
          <w:szCs w:val="18"/>
          <w:color w:val="auto"/>
        </w:rPr>
      </w:pPr>
    </w:p>
    <w:p>
      <w:pPr>
        <w:jc w:val="both"/>
        <w:ind w:left="900" w:right="460" w:hanging="379"/>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84" w:lineRule="exact"/>
        <w:rPr>
          <w:rFonts w:ascii="Times New Roman" w:cs="Times New Roman" w:eastAsia="Times New Roman" w:hAnsi="Times New Roman"/>
          <w:sz w:val="18"/>
          <w:szCs w:val="18"/>
          <w:color w:val="auto"/>
        </w:rPr>
      </w:pPr>
    </w:p>
    <w:p>
      <w:pPr>
        <w:ind w:left="900" w:right="240" w:hanging="379"/>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21" w:lineRule="exact"/>
        <w:rPr>
          <w:rFonts w:ascii="Times New Roman" w:cs="Times New Roman" w:eastAsia="Times New Roman" w:hAnsi="Times New Roman"/>
          <w:sz w:val="18"/>
          <w:szCs w:val="18"/>
          <w:color w:val="auto"/>
        </w:rPr>
      </w:pPr>
    </w:p>
    <w:p>
      <w:pPr>
        <w:ind w:left="900" w:right="660" w:hanging="379"/>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21" w:lineRule="exact"/>
        <w:rPr>
          <w:rFonts w:ascii="Times New Roman" w:cs="Times New Roman" w:eastAsia="Times New Roman" w:hAnsi="Times New Roman"/>
          <w:sz w:val="18"/>
          <w:szCs w:val="18"/>
          <w:color w:val="auto"/>
        </w:rPr>
      </w:pPr>
    </w:p>
    <w:p>
      <w:pPr>
        <w:ind w:left="900" w:right="260" w:hanging="379"/>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76</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76" w:name="page77"/>
    <w:bookmarkEnd w:id="76"/>
    <w:p>
      <w:pPr>
        <w:ind w:left="900" w:right="860" w:hanging="379"/>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21" w:lineRule="exact"/>
        <w:rPr>
          <w:rFonts w:ascii="Times New Roman" w:cs="Times New Roman" w:eastAsia="Times New Roman" w:hAnsi="Times New Roman"/>
          <w:sz w:val="18"/>
          <w:szCs w:val="18"/>
          <w:color w:val="auto"/>
        </w:rPr>
      </w:pPr>
    </w:p>
    <w:p>
      <w:pPr>
        <w:ind w:left="900" w:right="40" w:hanging="379"/>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is the exclusive forum for any derivative action or proceeding brought on our behalf under Delaware statutory or common law, including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The choice of forum provisions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By agreeing to these provisions,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02" w:lineRule="exact"/>
        <w:rPr>
          <w:sz w:val="20"/>
          <w:szCs w:val="20"/>
          <w:color w:val="auto"/>
        </w:rPr>
      </w:pPr>
    </w:p>
    <w:p>
      <w:pPr>
        <w:ind w:right="480" w:firstLine="518"/>
        <w:spacing w:after="0" w:line="266"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(if at all).</w:t>
      </w:r>
    </w:p>
    <w:p>
      <w:pPr>
        <w:spacing w:after="0" w:line="13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Under recently enacted U.S. tax legislation, federal net operating loss, or NOL, carryforwards generated in periods after December 31, 2017, may be carried forward indefinitely but may only be used to offset 80% of our taxable income annually. Our NOL carryforwards are subject to review and possible adjustment by the Internal Revenue Service, or the IRS, and state tax authorities. Under Section 382 of the Internal Revenue Code of 1986, as amended, or the Code, our federal NOL carryforwards may become subject to an annual limitation in the event of certain cumulative changes in the ownership interest of significant stockholders over a three-year period in excess of 50 percentage points. Our ability to utilize our NOL carryforwards and other tax attributes to offset future taxable income or tax liabilities may be limited as a result of ownership changes, including potential changes in connection with our IPO or future offerings. Similar rules may apply under state tax laws. We have not yet determined the amount of the cumulative change in our ownership resulting from our IPO or other transactions, or any resulting limitations on our ability to utilize our NOL carryforwards and other tax attributes. If we earn taxable income, such limitations could result in increased future tax liability to us and our future cash flows could be adversely affected. We have recorded a full valuation allowance related to our NOLs and other deferred tax assets due to the uncertainty of the ultimate realization of the future benefits of those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U.S. tax legislation may materially adversely affect our financial condition, results of operations and cash flows.</w:t>
      </w:r>
    </w:p>
    <w:p>
      <w:pPr>
        <w:spacing w:after="0" w:line="202"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Tax Act has significantly changed the U.S. federal income taxation of U.S. corporations, including by reducing the U.S. corporate income tax rate and revising the rules governing NOLs. Many of these changes became effective beginning in 2018, without any transition periods or grandfathering for existing transactions. The legislation is unclear in many respects and could be subject to potential amendments and technical corrections, as well as interpretations and implementing regulations by the U.S. Treasury Department and the IRS, any of which could lessen or increase certain adverse impacts of the legislation. In addition, it is unclear how</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77</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7" w:name="page78"/>
    <w:bookmarkEnd w:id="77"/>
    <w:p>
      <w:pPr>
        <w:ind w:right="160"/>
        <w:spacing w:after="0" w:line="282" w:lineRule="auto"/>
        <w:rPr>
          <w:sz w:val="20"/>
          <w:szCs w:val="20"/>
          <w:color w:val="auto"/>
        </w:rPr>
      </w:pPr>
      <w:r>
        <w:rPr>
          <w:rFonts w:ascii="Times New Roman" w:cs="Times New Roman" w:eastAsia="Times New Roman" w:hAnsi="Times New Roman"/>
          <w:sz w:val="18"/>
          <w:szCs w:val="18"/>
          <w:color w:val="auto"/>
        </w:rPr>
        <w:t>these U.S. federal income tax changes will affect state and local taxation, which often uses federal taxable income as a starting point for computing state and local tax liabilities.</w:t>
      </w:r>
    </w:p>
    <w:p>
      <w:pPr>
        <w:spacing w:after="0" w:line="13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8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4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9" w:lineRule="exact"/>
        <w:rPr>
          <w:sz w:val="20"/>
          <w:szCs w:val="20"/>
          <w:color w:val="auto"/>
        </w:rPr>
      </w:pPr>
    </w:p>
    <w:p>
      <w:pPr>
        <w:ind w:right="40" w:firstLine="518"/>
        <w:spacing w:after="0" w:line="270" w:lineRule="auto"/>
        <w:rPr>
          <w:sz w:val="20"/>
          <w:szCs w:val="20"/>
          <w:color w:val="auto"/>
        </w:rPr>
      </w:pPr>
      <w:r>
        <w:rPr>
          <w:rFonts w:ascii="Times New Roman" w:cs="Times New Roman" w:eastAsia="Times New Roman" w:hAnsi="Times New Roman"/>
          <w:sz w:val="17"/>
          <w:szCs w:val="17"/>
          <w:color w:val="auto"/>
        </w:rPr>
        <w:t>During the quarter ended September 30, 2019, certain of our employees and consultants were granted options to purchase an aggregate of 1,400,528 shares of common stock at an exercise prices ranging from $6.95 to $13.04 per share. The stock options and the common stock issuable upon the exercise of such options as described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under the Securities Act and Rule 506 promulgated thereunder as a transaction not involving any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$191.4 million, after deducting underwriting discounts and commissions of approximately $14.6 million and offering-related transaction costs of approximately $3.0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from that described in the Prospectus.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78</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6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54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4240" w:type="dxa"/>
            <w:vAlign w:val="bottom"/>
            <w:gridSpan w:val="14"/>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Amended and Restated Certificate of Incorporation</w:t>
              </w:r>
            </w:hyperlink>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36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Amended and Restated Bylaws</w:t>
              </w:r>
            </w:hyperlink>
          </w:p>
        </w:tc>
        <w:tc>
          <w:tcPr>
            <w:tcW w:w="5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Form of Common Stock Certificate</w:t>
              </w:r>
            </w:hyperlink>
          </w:p>
        </w:tc>
        <w:tc>
          <w:tcPr>
            <w:tcW w:w="168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Warrant to purchase shares of common stock issued to Takeda Company</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Limited, dated May 7, 2019</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55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Warrant to purchase stock issued to Silicon Valley Bank, dated May 14, 2019</w:t>
              </w:r>
            </w:hyperlink>
          </w:p>
        </w:tc>
        <w:tc>
          <w:tcPr>
            <w:tcW w:w="300" w:type="dxa"/>
            <w:vAlign w:val="bottom"/>
            <w:gridSpan w:val="6"/>
          </w:tcPr>
          <w:p>
            <w:pPr>
              <w:spacing w:after="0"/>
              <w:rPr>
                <w:sz w:val="24"/>
                <w:szCs w:val="24"/>
                <w:color w:val="auto"/>
              </w:rPr>
            </w:pPr>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Warrant to purchase stock issued to WestRiver Innovation Lending Fund VIII,</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L.P., dated May 14, 2019</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Note Purchase Agreement, dated May 7, 2019, by and among the Registrant and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the other parties party thereto, as amended</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Phathom Pharmaceuticals, Inc. 2019 Equity Incentive Plan</w:t>
              </w:r>
            </w:hyperlink>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Stock Option Grant Notice and Stock Option Agreement under the</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Phathom Pharmaceuticals, Inc. 2019 Equity Incentive Plan</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 Restricted Stock Grant Notice and Restricted Stock Agreement under</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Phathom Pharmaceuticals, Inc. 2019 Equity Incentive Plan</w:t>
              </w:r>
            </w:hyperlink>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Phathom Pharmaceuticals, Inc. 2019 Incentive Award Plan and form of stock</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option grant notice and stock option agreement thereunder</w:t>
              </w:r>
            </w:hyperlink>
          </w:p>
        </w:tc>
        <w:tc>
          <w:tcPr>
            <w:tcW w:w="40" w:type="dxa"/>
            <w:vAlign w:val="bottom"/>
            <w:tcBorders>
              <w:top w:val="single" w:sz="8" w:color="0000EE"/>
            </w:tcBorders>
            <w:gridSpan w:val="2"/>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Phathom Pharmaceuticals, Inc. 2019 Employee Stock Purchase Plan</w:t>
              </w:r>
            </w:hyperlink>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42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Non-Employee Director Compensation Policy</w:t>
              </w:r>
            </w:hyperlink>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Letter Agreement, dated May 7, 2019, by and between Tadataka Yamada, M.D.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and the Registrant</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Employment Letter Agreement, dated July 21, 2019, by and between David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Socks and the Registrant</w:t>
              </w:r>
            </w:hyperlink>
          </w:p>
        </w:tc>
        <w:tc>
          <w:tcPr>
            <w:tcW w:w="2440" w:type="dxa"/>
            <w:vAlign w:val="bottom"/>
            <w:tcBorders>
              <w:top w:val="single" w:sz="8" w:color="0000EE"/>
            </w:tcBorders>
            <w:gridSpan w:val="12"/>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24"/>
                <w:szCs w:val="24"/>
                <w:color w:val="auto"/>
              </w:rPr>
            </w:pPr>
          </w:p>
        </w:tc>
        <w:tc>
          <w:tcPr>
            <w:tcW w:w="5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Amended and Restated Employment Letter Agreement, dated September 25,</w:t>
              </w:r>
            </w:hyperlink>
          </w:p>
        </w:tc>
        <w:tc>
          <w:tcPr>
            <w:tcW w:w="34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2019 by and between Azmi Nabulsi, M.D., M.P.H. and the Registrant</w:t>
              </w:r>
            </w:hyperlink>
          </w:p>
        </w:tc>
        <w:tc>
          <w:tcPr>
            <w:tcW w:w="860" w:type="dxa"/>
            <w:vAlign w:val="bottom"/>
            <w:gridSpan w:val="14"/>
          </w:tcPr>
          <w:p>
            <w:pPr>
              <w:spacing w:after="0"/>
              <w:rPr>
                <w:sz w:val="17"/>
                <w:szCs w:val="17"/>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Employment Letter Agreement, dated July 23, 2019, by and between Aditya</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Kohli, Ph.D. and the Registrant</w:t>
              </w:r>
            </w:hyperlink>
          </w:p>
        </w:tc>
        <w:tc>
          <w:tcPr>
            <w:tcW w:w="1980" w:type="dxa"/>
            <w:vAlign w:val="bottom"/>
            <w:tcBorders>
              <w:top w:val="single" w:sz="8" w:color="0000EE"/>
            </w:tcBorders>
            <w:gridSpan w:val="8"/>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Indemnification Agreement for Directors and Officers</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License Agreement, dated May 7, 209, by and between Takeda Pharmaceutical</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Company Limited and the Registrant</w:t>
              </w:r>
            </w:hyperlink>
          </w:p>
        </w:tc>
        <w:tc>
          <w:tcPr>
            <w:tcW w:w="1580" w:type="dxa"/>
            <w:vAlign w:val="bottom"/>
            <w:tcBorders>
              <w:top w:val="single" w:sz="8" w:color="0000EE"/>
            </w:tcBorders>
            <w:gridSpan w:val="6"/>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5860" w:type="dxa"/>
            <w:vAlign w:val="bottom"/>
            <w:gridSpan w:val="31"/>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Loan and Security Agreement, dated May 14, 2019, by and among Silicon</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500" w:type="dxa"/>
            <w:vAlign w:val="bottom"/>
            <w:gridSpan w:val="16"/>
            <w:shd w:val="clear" w:color="auto" w:fill="0000EE"/>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gridSpan w:val="31"/>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Valley Bank, WestRiver Innovation Lending Fund VIII, L.P. and the Registrant</w:t>
              </w:r>
            </w:hyperlink>
          </w:p>
        </w:tc>
      </w:tr>
      <w:tr>
        <w:trPr>
          <w:trHeight w:val="3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5680" w:type="dxa"/>
            <w:vAlign w:val="bottom"/>
            <w:tcBorders>
              <w:top w:val="single" w:sz="8" w:color="0000EE"/>
            </w:tcBorders>
            <w:gridSpan w:val="28"/>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Employment Letter Agreement, dated August 29, 2019, by and between Terrie</w:t>
              </w:r>
            </w:hyperlink>
          </w:p>
        </w:tc>
        <w:tc>
          <w:tcPr>
            <w:tcW w:w="18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Curran and the Registrant</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90"/>
        </w:trPr>
        <w:tc>
          <w:tcPr>
            <w:tcW w:w="55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30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23"/>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0" w:type="dxa"/>
            <w:vAlign w:val="bottom"/>
          </w:tcPr>
          <w:p>
            <w:pPr>
              <w:spacing w:after="0"/>
              <w:rPr>
                <w:sz w:val="19"/>
                <w:szCs w:val="19"/>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4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9/30/19</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2">
            <w:col w:w="7120" w:space="60"/>
            <w:col w:w="4240"/>
          </w:cols>
          <w:pgMar w:left="240" w:top="509" w:right="239" w:bottom="1440" w:gutter="0" w:footer="0" w:header="0"/>
        </w:sectPr>
      </w:pPr>
    </w:p>
    <w:bookmarkStart w:id="79" w:name="page80"/>
    <w:bookmarkEnd w:id="79"/>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31.1</w:t>
            </w:r>
          </w:p>
        </w:tc>
        <w:tc>
          <w:tcPr>
            <w:tcW w:w="5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Certification of Chief Executive Officer of Phathom Pharmaceuticals, Inc., as</w:t>
              </w:r>
            </w:hyperlink>
          </w:p>
        </w:tc>
        <w:tc>
          <w:tcPr>
            <w:tcW w:w="2100" w:type="dxa"/>
            <w:vAlign w:val="bottom"/>
            <w:gridSpan w:val="3"/>
          </w:tcPr>
          <w:p>
            <w:pPr>
              <w:spacing w:after="0"/>
              <w:rPr>
                <w:sz w:val="17"/>
                <w:szCs w:val="17"/>
                <w:color w:val="auto"/>
              </w:rPr>
            </w:pP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7680" w:type="dxa"/>
            <w:vAlign w:val="bottom"/>
            <w:gridSpan w:val="8"/>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required by Rule 13a-14(a) or Rule 15d-14(a), as adopted pursuant to Section</w:t>
              </w:r>
            </w:hyperlink>
          </w:p>
        </w:tc>
        <w:tc>
          <w:tcPr>
            <w:tcW w:w="19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5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302 of the Sarbanes-Oxley Act of 2002.</w:t>
              </w:r>
            </w:hyperlink>
          </w:p>
        </w:tc>
        <w:tc>
          <w:tcPr>
            <w:tcW w:w="2120" w:type="dxa"/>
            <w:vAlign w:val="bottom"/>
            <w:gridSpan w:val="4"/>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31.2</w:t>
            </w:r>
          </w:p>
        </w:tc>
        <w:tc>
          <w:tcPr>
            <w:tcW w:w="7680" w:type="dxa"/>
            <w:vAlign w:val="bottom"/>
            <w:gridSpan w:val="8"/>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Certification of Chief Financial Officer of Phathom Pharmaceuticals, Inc., as</w:t>
              </w:r>
            </w:hyperlink>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680" w:type="dxa"/>
            <w:vAlign w:val="bottom"/>
            <w:gridSpan w:val="8"/>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required by Rule 13a-14(a) or Rule 15d-14(a), as adopted pursuant to Section</w:t>
              </w:r>
            </w:hyperlink>
          </w:p>
        </w:tc>
        <w:tc>
          <w:tcPr>
            <w:tcW w:w="19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5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302 of the Sarbanes-Oxley Act of 2002.</w:t>
              </w:r>
            </w:hyperlink>
          </w:p>
        </w:tc>
        <w:tc>
          <w:tcPr>
            <w:tcW w:w="2120" w:type="dxa"/>
            <w:vAlign w:val="bottom"/>
            <w:gridSpan w:val="4"/>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32.1*</w:t>
            </w:r>
          </w:p>
        </w:tc>
        <w:tc>
          <w:tcPr>
            <w:tcW w:w="5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Certification of Chief Executive Officer pursuant to Section 906 of the Sarbanes-</w:t>
              </w:r>
            </w:hyperlink>
          </w:p>
        </w:tc>
        <w:tc>
          <w:tcPr>
            <w:tcW w:w="184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7680" w:type="dxa"/>
            <w:vAlign w:val="bottom"/>
            <w:gridSpan w:val="8"/>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Oxley Act of 2002.</w:t>
              </w:r>
            </w:hyperlink>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32.2*</w:t>
            </w:r>
          </w:p>
        </w:tc>
        <w:tc>
          <w:tcPr>
            <w:tcW w:w="7680" w:type="dxa"/>
            <w:vAlign w:val="bottom"/>
            <w:gridSpan w:val="8"/>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Certification of Chief Financial Officer pursuant to Section 906 of the Sarbanes-</w:t>
              </w:r>
            </w:hyperlink>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57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Oxley Act of 2002.</w:t>
              </w:r>
            </w:hyperlink>
          </w:p>
        </w:tc>
        <w:tc>
          <w:tcPr>
            <w:tcW w:w="190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5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Report Instance Document</w:t>
            </w: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338"/>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101.SCH</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33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33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338"/>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101.PRE</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r>
        <w:trPr>
          <w:trHeight w:val="338"/>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9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98"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380" w:right="340" w:hanging="372"/>
        <w:spacing w:after="0" w:line="261"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776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80</w:t>
            </w:r>
          </w:p>
        </w:tc>
      </w:tr>
      <w:tr>
        <w:trPr>
          <w:trHeight w:val="331"/>
        </w:trPr>
        <w:tc>
          <w:tcPr>
            <w:tcW w:w="36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5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PHATHOM PHARMACEUTICALS, INC.</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25, 2019</w:t>
            </w:r>
          </w:p>
        </w:tc>
        <w:tc>
          <w:tcPr>
            <w:tcW w:w="75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By: /s/ David Socks</w:t>
            </w:r>
          </w:p>
        </w:tc>
      </w:tr>
      <w:tr>
        <w:trPr>
          <w:trHeight w:val="191"/>
        </w:trPr>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Socks</w:t>
            </w:r>
          </w:p>
        </w:tc>
      </w:tr>
      <w:tr>
        <w:trPr>
          <w:trHeight w:val="216"/>
        </w:trPr>
        <w:tc>
          <w:tcPr>
            <w:tcW w:w="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25, 2019</w:t>
            </w:r>
          </w:p>
        </w:tc>
        <w:tc>
          <w:tcPr>
            <w:tcW w:w="75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By: /s/ Aditya Kohli</w:t>
            </w:r>
          </w:p>
        </w:tc>
      </w:tr>
      <w:tr>
        <w:trPr>
          <w:trHeight w:val="191"/>
        </w:trPr>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Aditya Kohli</w:t>
            </w:r>
          </w:p>
        </w:tc>
      </w:tr>
      <w:tr>
        <w:trPr>
          <w:trHeight w:val="216"/>
        </w:trPr>
        <w:tc>
          <w:tcPr>
            <w:tcW w:w="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4"/>
        </w:trPr>
        <w:tc>
          <w:tcPr>
            <w:tcW w:w="5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6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US-DOCS\111623708.4</w:t>
            </w:r>
          </w:p>
        </w:tc>
        <w:tc>
          <w:tcPr>
            <w:tcW w:w="32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81</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Socks, certify that:</w:t>
      </w:r>
    </w:p>
    <w:p>
      <w:pPr>
        <w:spacing w:after="0" w:line="171"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Phathom Pharmaceuticals, Inc.;</w:t>
      </w:r>
    </w:p>
    <w:p>
      <w:pPr>
        <w:spacing w:after="0" w:line="171"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440" w:right="400" w:hanging="432"/>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760" w:right="80" w:hanging="442"/>
        <w:spacing w:after="0" w:line="266" w:lineRule="auto"/>
        <w:tabs>
          <w:tab w:leader="none" w:pos="1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760" w:right="140" w:hanging="442"/>
        <w:spacing w:after="0" w:line="266" w:lineRule="auto"/>
        <w:tabs>
          <w:tab w:leader="none" w:pos="1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760" w:right="240" w:hanging="442"/>
        <w:spacing w:after="0" w:line="266" w:lineRule="auto"/>
        <w:tabs>
          <w:tab w:leader="none" w:pos="1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760" w:right="340" w:hanging="442"/>
        <w:spacing w:after="0" w:line="266" w:lineRule="auto"/>
        <w:tabs>
          <w:tab w:leader="none" w:pos="1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440" w:right="200" w:hanging="432"/>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60" w:right="180" w:hanging="442"/>
        <w:spacing w:after="0" w:line="282" w:lineRule="auto"/>
        <w:tabs>
          <w:tab w:leader="none" w:pos="1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60" w:right="460" w:hanging="442"/>
        <w:spacing w:after="0" w:line="282" w:lineRule="auto"/>
        <w:tabs>
          <w:tab w:leader="none" w:pos="1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Socks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ectPr>
          <w:pgSz w:w="11900" w:h="16838" w:orient="portrait"/>
          <w:cols w:equalWidth="0" w:num="1">
            <w:col w:w="11420"/>
          </w:cols>
          <w:pgMar w:left="240" w:top="117"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BUSINESS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Aditya Kohli, certify that:</w:t>
      </w:r>
    </w:p>
    <w:p>
      <w:pPr>
        <w:spacing w:after="0" w:line="171" w:lineRule="exact"/>
        <w:rPr>
          <w:sz w:val="20"/>
          <w:szCs w:val="20"/>
          <w:color w:val="auto"/>
        </w:rPr>
      </w:pPr>
    </w:p>
    <w:p>
      <w:pPr>
        <w:ind w:left="440" w:hanging="432"/>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Phathom Pharmaceuticals, Inc.;</w:t>
      </w:r>
    </w:p>
    <w:p>
      <w:pPr>
        <w:spacing w:after="0" w:line="171"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440" w:right="400" w:hanging="432"/>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760" w:right="80" w:hanging="442"/>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760" w:right="140" w:hanging="442"/>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760" w:right="240" w:hanging="442"/>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760" w:right="340" w:hanging="442"/>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440" w:right="200" w:hanging="432"/>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60" w:right="180" w:hanging="442"/>
        <w:spacing w:after="0" w:line="282"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60" w:right="460" w:hanging="442"/>
        <w:spacing w:after="0" w:line="282"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Aditya Kohli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Aditya Kohli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ectPr>
          <w:pgSz w:w="11900" w:h="16838" w:orient="portrait"/>
          <w:cols w:equalWidth="0" w:num="1">
            <w:col w:w="11420"/>
          </w:cols>
          <w:pgMar w:left="240" w:top="117"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jc w:val="both"/>
        <w:ind w:right="80" w:firstLine="58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period ended September 30, 2019, as filed with the Securities and Exchange Commission on the date hereof (the “Report”), I, David Socks, as Chief Executive Officer of the Company, certify, pursuant to 18 U.S.C. Section 1350, as adopted pursuant to Section 906 of the Sarbanes-Oxley Act of 2002, that to my knowledge:</w:t>
      </w:r>
    </w:p>
    <w:p>
      <w:pPr>
        <w:spacing w:after="0" w:line="122" w:lineRule="exact"/>
        <w:rPr>
          <w:sz w:val="20"/>
          <w:szCs w:val="20"/>
          <w:color w:val="auto"/>
        </w:rPr>
      </w:pPr>
    </w:p>
    <w:p>
      <w:pPr>
        <w:ind w:left="1020" w:hanging="431"/>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020" w:right="740" w:hanging="431"/>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Socks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3" w:lineRule="exact"/>
        <w:rPr>
          <w:sz w:val="20"/>
          <w:szCs w:val="20"/>
          <w:color w:val="auto"/>
        </w:rPr>
      </w:pPr>
    </w:p>
    <w:p>
      <w:pPr>
        <w:ind w:right="280" w:firstLine="585"/>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jc w:val="both"/>
        <w:ind w:right="80" w:firstLine="58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period ended September 30, 2019, as filed with the Securities and Exchange Commission on the date hereof (the “Report”), I, Aditya Kohli, as Chief Business Officer of the Company, certify, pursuant to 18 U.S.C. Section 1350, as adopted pursuant to Section 906 of the Sarbanes-Oxley Act of 2002, that to my knowledge:</w:t>
      </w:r>
    </w:p>
    <w:p>
      <w:pPr>
        <w:spacing w:after="0" w:line="122" w:lineRule="exact"/>
        <w:rPr>
          <w:sz w:val="20"/>
          <w:szCs w:val="20"/>
          <w:color w:val="auto"/>
        </w:rPr>
      </w:pPr>
    </w:p>
    <w:p>
      <w:pPr>
        <w:ind w:left="1020" w:hanging="431"/>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020" w:right="740" w:hanging="431"/>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Aditya Kohli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Aditya Kohli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193" w:lineRule="exact"/>
        <w:rPr>
          <w:sz w:val="20"/>
          <w:szCs w:val="20"/>
          <w:color w:val="auto"/>
        </w:rPr>
      </w:pPr>
    </w:p>
    <w:p>
      <w:pPr>
        <w:ind w:right="280" w:firstLine="585"/>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o"/>
      <w:numFmt w:val="bullet"/>
      <w:start w:val="1"/>
    </w:lvl>
  </w:abstractNum>
  <w:abstractNum w:abstractNumId="10">
    <w:nsid w:val="7C3DBD3D"/>
    <w:multiLevelType w:val="hybridMultilevel"/>
    <w:lvl w:ilvl="0">
      <w:lvlJc w:val="left"/>
      <w:lvlText w:val="o"/>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172" Type="http://schemas.openxmlformats.org/officeDocument/2006/relationships/hyperlink" Target="http://www.sec.gov/Archives/edgar/data/1783183/000119312519258922/d63338dex33.htm" TargetMode="External"/><Relationship Id="rId173" Type="http://schemas.openxmlformats.org/officeDocument/2006/relationships/hyperlink" Target="http://www.sec.gov/Archives/edgar/data/1783183/000119312519258922/d63338dex34.htm" TargetMode="External"/><Relationship Id="rId174" Type="http://schemas.openxmlformats.org/officeDocument/2006/relationships/hyperlink" Target="http://www.sec.gov/Archives/edgar/data/1783183/000119312519267053/d63338dex41.htm" TargetMode="External"/><Relationship Id="rId175" Type="http://schemas.openxmlformats.org/officeDocument/2006/relationships/hyperlink" Target="http://www.sec.gov/Archives/edgar/data/1783183/000119312519258922/d63338dex42.htm" TargetMode="External"/><Relationship Id="rId176" Type="http://schemas.openxmlformats.org/officeDocument/2006/relationships/hyperlink" Target="http://www.sec.gov/Archives/edgar/data/1783183/000119312519258922/d63338dex43.htm" TargetMode="External"/><Relationship Id="rId177" Type="http://schemas.openxmlformats.org/officeDocument/2006/relationships/hyperlink" Target="http://www.sec.gov/Archives/edgar/data/1783183/000119312519258922/d63338dex44.htm" TargetMode="External"/><Relationship Id="rId178" Type="http://schemas.openxmlformats.org/officeDocument/2006/relationships/hyperlink" Target="http://www.sec.gov/Archives/edgar/data/1783183/000119312519267053/d63338dex45.htm" TargetMode="External"/><Relationship Id="rId179" Type="http://schemas.openxmlformats.org/officeDocument/2006/relationships/hyperlink" Target="http://www.sec.gov/Archives/edgar/data/1783183/000119312519258922/d63338dex101.htm" TargetMode="External"/><Relationship Id="rId180" Type="http://schemas.openxmlformats.org/officeDocument/2006/relationships/hyperlink" Target="http://www.sec.gov/Archives/edgar/data/1783183/000119312519258922/d63338dex102.htm" TargetMode="External"/><Relationship Id="rId181" Type="http://schemas.openxmlformats.org/officeDocument/2006/relationships/hyperlink" Target="http://www.sec.gov/Archives/edgar/data/1783183/000119312519258922/d63338dex103.htm" TargetMode="External"/><Relationship Id="rId182" Type="http://schemas.openxmlformats.org/officeDocument/2006/relationships/hyperlink" Target="http://www.sec.gov/Archives/edgar/data/1783183/000119312519267053/d63338dex104.htm" TargetMode="External"/><Relationship Id="rId183" Type="http://schemas.openxmlformats.org/officeDocument/2006/relationships/hyperlink" Target="http://www.sec.gov/Archives/edgar/data/1783183/000119312519267053/d63338dex105.htm" TargetMode="External"/><Relationship Id="rId184" Type="http://schemas.openxmlformats.org/officeDocument/2006/relationships/hyperlink" Target="http://www.sec.gov/Archives/edgar/data/1783183/000119312519267053/d63338dex106.htm" TargetMode="External"/><Relationship Id="rId185" Type="http://schemas.openxmlformats.org/officeDocument/2006/relationships/hyperlink" Target="http://www.sec.gov/Archives/edgar/data/1783183/000119312519258922/d63338dex107.htm" TargetMode="External"/><Relationship Id="rId186" Type="http://schemas.openxmlformats.org/officeDocument/2006/relationships/hyperlink" Target="http://www.sec.gov/Archives/edgar/data/1783183/000119312519258922/d63338dex108.htm" TargetMode="External"/><Relationship Id="rId187" Type="http://schemas.openxmlformats.org/officeDocument/2006/relationships/hyperlink" Target="http://www.sec.gov/Archives/edgar/data/1783183/000119312519258922/d63338dex109.htm" TargetMode="External"/><Relationship Id="rId188" Type="http://schemas.openxmlformats.org/officeDocument/2006/relationships/hyperlink" Target="http://www.sec.gov/Archives/edgar/data/1783183/000119312519258922/d63338dex1010.htm" TargetMode="External"/><Relationship Id="rId189" Type="http://schemas.openxmlformats.org/officeDocument/2006/relationships/hyperlink" Target="http://www.sec.gov/Archives/edgar/data/1783183/000119312519258922/d63338dex1011.htm" TargetMode="External"/><Relationship Id="rId190" Type="http://schemas.openxmlformats.org/officeDocument/2006/relationships/hyperlink" Target="http://www.sec.gov/Archives/edgar/data/1783183/000119312519258922/d63338dex1012.htm" TargetMode="External"/><Relationship Id="rId191" Type="http://schemas.openxmlformats.org/officeDocument/2006/relationships/hyperlink" Target="http://www.sec.gov/Archives/edgar/data/1783183/000119312519258922/d63338dex1013.htm" TargetMode="External"/><Relationship Id="rId192" Type="http://schemas.openxmlformats.org/officeDocument/2006/relationships/hyperlink" Target="http://www.sec.gov/Archives/edgar/data/1783183/000119312519258922/d63338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2019-12-28T01:25:12Z</dcterms:created>
  <dcterms:modified xsi:type="dcterms:W3CDTF">2019-12-28T01:25:12Z</dcterms:modified>
</cp:coreProperties>
</file>